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3DA" w:rsidRDefault="002643DA" w:rsidP="00463A13">
      <w:pPr>
        <w:spacing w:line="240" w:lineRule="auto"/>
        <w:jc w:val="both"/>
        <w:rPr>
          <w:rFonts w:ascii="Book Antiqua" w:hAnsi="Book Antiqua"/>
          <w:b/>
          <w:sz w:val="24"/>
          <w:szCs w:val="24"/>
          <w:lang w:val="en-US"/>
        </w:rPr>
      </w:pPr>
    </w:p>
    <w:p w:rsidR="00463A13" w:rsidRDefault="00463A13" w:rsidP="00463A13">
      <w:pPr>
        <w:spacing w:line="240" w:lineRule="auto"/>
        <w:jc w:val="both"/>
        <w:rPr>
          <w:rFonts w:ascii="Book Antiqua" w:hAnsi="Book Antiqua"/>
          <w:b/>
          <w:sz w:val="24"/>
          <w:szCs w:val="24"/>
          <w:lang w:val="en-US"/>
        </w:rPr>
      </w:pPr>
      <w:r>
        <w:rPr>
          <w:rFonts w:ascii="Book Antiqua" w:hAnsi="Book Antiqua"/>
          <w:b/>
          <w:sz w:val="24"/>
          <w:szCs w:val="24"/>
          <w:lang w:val="en-US"/>
        </w:rPr>
        <w:t>KOMITET PRAVNIKA ZA LJUDSKA PRAVA</w:t>
      </w:r>
    </w:p>
    <w:p w:rsidR="00463A13" w:rsidRPr="00974C98" w:rsidRDefault="00974C98" w:rsidP="00463A13">
      <w:pPr>
        <w:spacing w:line="240" w:lineRule="auto"/>
        <w:jc w:val="both"/>
        <w:rPr>
          <w:rFonts w:ascii="Book Antiqua" w:hAnsi="Book Antiqua"/>
          <w:sz w:val="24"/>
          <w:szCs w:val="24"/>
          <w:lang w:val="en-US"/>
        </w:rPr>
      </w:pPr>
      <w:r w:rsidRPr="00974C98">
        <w:rPr>
          <w:rFonts w:ascii="Book Antiqua" w:hAnsi="Book Antiqua"/>
          <w:sz w:val="24"/>
          <w:szCs w:val="24"/>
          <w:lang w:val="en-US"/>
        </w:rPr>
        <w:t>Adv</w:t>
      </w:r>
      <w:r>
        <w:rPr>
          <w:rFonts w:ascii="Book Antiqua" w:hAnsi="Book Antiqua"/>
          <w:sz w:val="24"/>
          <w:szCs w:val="24"/>
          <w:lang w:val="en-US"/>
        </w:rPr>
        <w:t>okatica</w:t>
      </w:r>
      <w:r w:rsidRPr="00974C98">
        <w:rPr>
          <w:rFonts w:ascii="Book Antiqua" w:hAnsi="Book Antiqua"/>
          <w:sz w:val="24"/>
          <w:szCs w:val="24"/>
          <w:lang w:val="en-US"/>
        </w:rPr>
        <w:t xml:space="preserve"> Natalija Šolić i dokto</w:t>
      </w:r>
      <w:bookmarkStart w:id="0" w:name="_GoBack"/>
      <w:bookmarkEnd w:id="0"/>
      <w:r w:rsidRPr="00974C98">
        <w:rPr>
          <w:rFonts w:ascii="Book Antiqua" w:hAnsi="Book Antiqua"/>
          <w:sz w:val="24"/>
          <w:szCs w:val="24"/>
          <w:lang w:val="en-US"/>
        </w:rPr>
        <w:t>rantkinja Ana Janković Jovanović</w:t>
      </w:r>
    </w:p>
    <w:p w:rsidR="00463A13" w:rsidRDefault="00463A13" w:rsidP="00F05399">
      <w:pPr>
        <w:spacing w:line="240" w:lineRule="auto"/>
        <w:jc w:val="center"/>
        <w:rPr>
          <w:rFonts w:ascii="Book Antiqua" w:hAnsi="Book Antiqua"/>
          <w:b/>
          <w:sz w:val="24"/>
          <w:szCs w:val="24"/>
          <w:lang w:val="en-US"/>
        </w:rPr>
      </w:pPr>
    </w:p>
    <w:p w:rsidR="00463A13" w:rsidRDefault="00463A13" w:rsidP="00F05399">
      <w:pPr>
        <w:spacing w:line="240" w:lineRule="auto"/>
        <w:jc w:val="center"/>
        <w:rPr>
          <w:rFonts w:ascii="Book Antiqua" w:hAnsi="Book Antiqua"/>
          <w:b/>
          <w:sz w:val="24"/>
          <w:szCs w:val="24"/>
          <w:lang w:val="en-US"/>
        </w:rPr>
      </w:pPr>
    </w:p>
    <w:p w:rsidR="00F05399" w:rsidRPr="00F05399" w:rsidRDefault="00681A69" w:rsidP="00F05399">
      <w:pPr>
        <w:spacing w:line="240" w:lineRule="auto"/>
        <w:jc w:val="center"/>
        <w:rPr>
          <w:rFonts w:ascii="Book Antiqua" w:hAnsi="Book Antiqua"/>
          <w:b/>
          <w:sz w:val="24"/>
          <w:szCs w:val="24"/>
          <w:lang w:val="sr-Latn-RS"/>
        </w:rPr>
      </w:pPr>
      <w:r w:rsidRPr="00F05399">
        <w:rPr>
          <w:rFonts w:ascii="Book Antiqua" w:hAnsi="Book Antiqua"/>
          <w:b/>
          <w:sz w:val="24"/>
          <w:szCs w:val="24"/>
          <w:lang w:val="en-US"/>
        </w:rPr>
        <w:t>Anali</w:t>
      </w:r>
      <w:r w:rsidRPr="00F05399">
        <w:rPr>
          <w:rFonts w:ascii="Book Antiqua" w:hAnsi="Book Antiqua"/>
          <w:b/>
          <w:sz w:val="24"/>
          <w:szCs w:val="24"/>
          <w:lang w:val="sr-Latn-RS"/>
        </w:rPr>
        <w:t xml:space="preserve">za implementacije domaćeg zakonodavstva, </w:t>
      </w:r>
    </w:p>
    <w:p w:rsidR="00F05399" w:rsidRPr="00F05399" w:rsidRDefault="00A43369" w:rsidP="00F05399">
      <w:pPr>
        <w:spacing w:line="240" w:lineRule="auto"/>
        <w:jc w:val="center"/>
        <w:rPr>
          <w:rFonts w:ascii="Book Antiqua" w:hAnsi="Book Antiqua"/>
          <w:b/>
          <w:sz w:val="24"/>
          <w:szCs w:val="24"/>
          <w:lang w:val="sr-Latn-RS"/>
        </w:rPr>
      </w:pPr>
      <w:r>
        <w:rPr>
          <w:rFonts w:ascii="Book Antiqua" w:hAnsi="Book Antiqua"/>
          <w:b/>
          <w:sz w:val="24"/>
          <w:szCs w:val="24"/>
          <w:lang w:val="sr-Latn-RS"/>
        </w:rPr>
        <w:t>m</w:t>
      </w:r>
      <w:r w:rsidR="00681A69" w:rsidRPr="00F05399">
        <w:rPr>
          <w:rFonts w:ascii="Book Antiqua" w:hAnsi="Book Antiqua"/>
          <w:b/>
          <w:sz w:val="24"/>
          <w:szCs w:val="24"/>
          <w:lang w:val="sr-Latn-RS"/>
        </w:rPr>
        <w:t>eđunarodnih dokumenata i opšteprihvaćenih standarda međunarodnog</w:t>
      </w:r>
    </w:p>
    <w:p w:rsidR="00C861E1" w:rsidRDefault="00681A69" w:rsidP="00F05399">
      <w:pPr>
        <w:spacing w:line="240" w:lineRule="auto"/>
        <w:jc w:val="center"/>
        <w:rPr>
          <w:rFonts w:ascii="Book Antiqua" w:hAnsi="Book Antiqua"/>
          <w:b/>
          <w:sz w:val="24"/>
          <w:szCs w:val="24"/>
          <w:lang w:val="sr-Latn-RS"/>
        </w:rPr>
      </w:pPr>
      <w:r w:rsidRPr="00F05399">
        <w:rPr>
          <w:rFonts w:ascii="Book Antiqua" w:hAnsi="Book Antiqua"/>
          <w:b/>
          <w:sz w:val="24"/>
          <w:szCs w:val="24"/>
          <w:lang w:val="sr-Latn-RS"/>
        </w:rPr>
        <w:t xml:space="preserve"> prava koji se odnose na zaštitu dece od nasilja, zlostavljanja i zanemarivanja</w:t>
      </w:r>
    </w:p>
    <w:p w:rsidR="007C327E" w:rsidRPr="00F05399" w:rsidRDefault="007C327E" w:rsidP="00F05399">
      <w:pPr>
        <w:spacing w:line="240" w:lineRule="auto"/>
        <w:jc w:val="center"/>
        <w:rPr>
          <w:rFonts w:ascii="Book Antiqua" w:hAnsi="Book Antiqua"/>
          <w:b/>
          <w:sz w:val="24"/>
          <w:szCs w:val="24"/>
          <w:lang w:val="sr-Latn-RS"/>
        </w:rPr>
      </w:pPr>
    </w:p>
    <w:p w:rsidR="00681A69" w:rsidRPr="00EA7D12" w:rsidRDefault="003507B2" w:rsidP="00F05399">
      <w:pPr>
        <w:pStyle w:val="ListParagraph"/>
        <w:numPr>
          <w:ilvl w:val="0"/>
          <w:numId w:val="1"/>
        </w:numPr>
        <w:spacing w:line="240" w:lineRule="auto"/>
        <w:jc w:val="center"/>
        <w:rPr>
          <w:rFonts w:ascii="Book Antiqua" w:hAnsi="Book Antiqua"/>
          <w:sz w:val="24"/>
          <w:szCs w:val="24"/>
          <w:lang w:val="sr-Latn-RS"/>
        </w:rPr>
      </w:pPr>
      <w:r w:rsidRPr="00EA7D12">
        <w:rPr>
          <w:rFonts w:ascii="Book Antiqua" w:hAnsi="Book Antiqua"/>
          <w:sz w:val="24"/>
          <w:szCs w:val="24"/>
          <w:lang w:val="sr-Latn-RS"/>
        </w:rPr>
        <w:t xml:space="preserve">Sa fokusom </w:t>
      </w:r>
      <w:r w:rsidR="007C327E">
        <w:rPr>
          <w:rFonts w:ascii="Book Antiqua" w:hAnsi="Book Antiqua"/>
          <w:sz w:val="24"/>
          <w:szCs w:val="24"/>
          <w:lang w:val="sr-Latn-RS"/>
        </w:rPr>
        <w:t xml:space="preserve">na </w:t>
      </w:r>
      <w:r w:rsidR="007C327E" w:rsidRPr="007C327E">
        <w:rPr>
          <w:rFonts w:ascii="Book Antiqua" w:hAnsi="Book Antiqua"/>
          <w:sz w:val="24"/>
          <w:szCs w:val="24"/>
          <w:lang w:val="sr-Latn-RS"/>
        </w:rPr>
        <w:t>zaštit</w:t>
      </w:r>
      <w:r w:rsidR="007C327E">
        <w:rPr>
          <w:rFonts w:ascii="Book Antiqua" w:hAnsi="Book Antiqua"/>
          <w:sz w:val="24"/>
          <w:szCs w:val="24"/>
          <w:lang w:val="sr-Latn-RS"/>
        </w:rPr>
        <w:t>u</w:t>
      </w:r>
      <w:r w:rsidR="007C327E" w:rsidRPr="007C327E">
        <w:rPr>
          <w:rFonts w:ascii="Book Antiqua" w:hAnsi="Book Antiqua"/>
          <w:sz w:val="24"/>
          <w:szCs w:val="24"/>
          <w:lang w:val="sr-Latn-RS"/>
        </w:rPr>
        <w:t xml:space="preserve"> najboljeg interesa deteta prilikom pružanja sudske zaštite od nasilja, zlostavljanja i zanemarivanja</w:t>
      </w:r>
      <w:r w:rsidR="007C327E" w:rsidRPr="00EA7D12">
        <w:rPr>
          <w:rFonts w:ascii="Book Antiqua" w:hAnsi="Book Antiqua"/>
          <w:sz w:val="24"/>
          <w:szCs w:val="24"/>
          <w:lang w:val="sr-Latn-RS"/>
        </w:rPr>
        <w:t xml:space="preserve"> </w:t>
      </w:r>
      <w:r w:rsidR="004D4AF6" w:rsidRPr="00EA7D12">
        <w:rPr>
          <w:rFonts w:ascii="Book Antiqua" w:hAnsi="Book Antiqua"/>
          <w:sz w:val="24"/>
          <w:szCs w:val="24"/>
          <w:lang w:val="sr-Latn-RS"/>
        </w:rPr>
        <w:t>-</w:t>
      </w:r>
    </w:p>
    <w:p w:rsidR="0003376F" w:rsidRDefault="0003376F">
      <w:pPr>
        <w:rPr>
          <w:rFonts w:ascii="Book Antiqua" w:hAnsi="Book Antiqua"/>
          <w:color w:val="000000" w:themeColor="text1"/>
          <w:sz w:val="24"/>
          <w:szCs w:val="24"/>
          <w:lang w:val="sr-Latn-RS"/>
        </w:rPr>
      </w:pPr>
    </w:p>
    <w:p w:rsidR="007F06A6" w:rsidRDefault="007F06A6" w:rsidP="0003376F">
      <w:pPr>
        <w:jc w:val="center"/>
        <w:rPr>
          <w:rFonts w:ascii="Book Antiqua" w:hAnsi="Book Antiqua"/>
          <w:i/>
          <w:color w:val="000000" w:themeColor="text1"/>
          <w:sz w:val="24"/>
          <w:szCs w:val="24"/>
          <w:lang w:val="sr-Latn-RS"/>
        </w:rPr>
      </w:pPr>
    </w:p>
    <w:p w:rsidR="0003376F" w:rsidRDefault="0003376F" w:rsidP="0003376F">
      <w:pPr>
        <w:jc w:val="center"/>
        <w:rPr>
          <w:rFonts w:ascii="Book Antiqua" w:hAnsi="Book Antiqua"/>
          <w:i/>
          <w:color w:val="000000" w:themeColor="text1"/>
          <w:sz w:val="24"/>
          <w:szCs w:val="24"/>
          <w:lang w:val="sr-Latn-RS"/>
        </w:rPr>
      </w:pPr>
      <w:r>
        <w:rPr>
          <w:rFonts w:ascii="Book Antiqua" w:hAnsi="Book Antiqua"/>
          <w:i/>
          <w:color w:val="000000" w:themeColor="text1"/>
          <w:sz w:val="24"/>
          <w:szCs w:val="24"/>
          <w:lang w:val="sr-Latn-RS"/>
        </w:rPr>
        <w:t>Apstrakt</w:t>
      </w:r>
    </w:p>
    <w:p w:rsidR="0003376F" w:rsidRDefault="0003376F" w:rsidP="0003376F">
      <w:pPr>
        <w:jc w:val="center"/>
        <w:rPr>
          <w:rFonts w:ascii="Book Antiqua" w:hAnsi="Book Antiqua"/>
          <w:i/>
          <w:color w:val="000000" w:themeColor="text1"/>
          <w:sz w:val="24"/>
          <w:szCs w:val="24"/>
          <w:lang w:val="sr-Latn-RS"/>
        </w:rPr>
      </w:pPr>
    </w:p>
    <w:p w:rsidR="007F06A6" w:rsidRDefault="007F06A6" w:rsidP="0003376F">
      <w:pPr>
        <w:jc w:val="center"/>
        <w:rPr>
          <w:rFonts w:ascii="Book Antiqua" w:hAnsi="Book Antiqua"/>
          <w:i/>
          <w:color w:val="000000" w:themeColor="text1"/>
          <w:sz w:val="24"/>
          <w:szCs w:val="24"/>
          <w:lang w:val="sr-Latn-RS"/>
        </w:rPr>
      </w:pPr>
    </w:p>
    <w:p w:rsidR="0003376F" w:rsidRPr="00EA7D12" w:rsidRDefault="00A91A5B" w:rsidP="00EA7D12">
      <w:pPr>
        <w:jc w:val="center"/>
        <w:rPr>
          <w:rFonts w:ascii="Book Antiqua" w:hAnsi="Book Antiqua"/>
          <w:i/>
          <w:color w:val="000000" w:themeColor="text1"/>
          <w:sz w:val="24"/>
          <w:szCs w:val="24"/>
          <w:lang w:val="sr-Latn-RS"/>
        </w:rPr>
      </w:pPr>
      <w:r w:rsidRPr="00EA7D12">
        <w:rPr>
          <w:rFonts w:ascii="Book Antiqua" w:hAnsi="Book Antiqua"/>
          <w:i/>
          <w:lang w:val="sr-Latn-RS"/>
        </w:rPr>
        <w:t xml:space="preserve">Ni jedno društvo ne sme da dozvoli da postoji nasilje nad decom i ako već postoji ne sme da ga ignoriše. </w:t>
      </w:r>
      <w:r w:rsidR="00DF35B9" w:rsidRPr="00EA7D12">
        <w:rPr>
          <w:rFonts w:ascii="Book Antiqua" w:hAnsi="Book Antiqua"/>
          <w:i/>
          <w:lang w:val="sr-Latn-RS"/>
        </w:rPr>
        <w:t xml:space="preserve">Analiza se bavi praktičnom primenom odredbi pozitivnog zakonodavstva u sudskoj zaštiti deteta od nasilja, zlostavljanja i zanemarivanja, poštovanjem načela najboljeg interesa deteta, problemima u primeni usled neadekvatne </w:t>
      </w:r>
      <w:r w:rsidR="00EA7D12" w:rsidRPr="00EA7D12">
        <w:rPr>
          <w:rFonts w:ascii="Book Antiqua" w:hAnsi="Book Antiqua"/>
          <w:i/>
          <w:lang w:val="sr-Latn-RS"/>
        </w:rPr>
        <w:t>koordinacije</w:t>
      </w:r>
      <w:r w:rsidR="00DF35B9" w:rsidRPr="00EA7D12">
        <w:rPr>
          <w:rFonts w:ascii="Book Antiqua" w:hAnsi="Book Antiqua"/>
          <w:i/>
          <w:lang w:val="sr-Latn-RS"/>
        </w:rPr>
        <w:t xml:space="preserve"> svih nadležnih institucija, preventivnim delovanjem u cilju smanjenja nasilja nad detetom, </w:t>
      </w:r>
      <w:r w:rsidR="00EA7D12" w:rsidRPr="00EA7D12">
        <w:rPr>
          <w:rFonts w:ascii="Book Antiqua" w:hAnsi="Book Antiqua"/>
          <w:i/>
          <w:lang w:val="sr-Latn-RS"/>
        </w:rPr>
        <w:t xml:space="preserve">problemom </w:t>
      </w:r>
      <w:r w:rsidR="00DF35B9" w:rsidRPr="00EA7D12">
        <w:rPr>
          <w:rFonts w:ascii="Book Antiqua" w:hAnsi="Book Antiqua"/>
          <w:i/>
          <w:lang w:val="sr-Latn-RS"/>
        </w:rPr>
        <w:t>ograničen</w:t>
      </w:r>
      <w:r w:rsidR="00EA7D12" w:rsidRPr="00EA7D12">
        <w:rPr>
          <w:rFonts w:ascii="Book Antiqua" w:hAnsi="Book Antiqua"/>
          <w:i/>
          <w:lang w:val="sr-Latn-RS"/>
        </w:rPr>
        <w:t>e</w:t>
      </w:r>
      <w:r w:rsidR="00DF35B9" w:rsidRPr="00EA7D12">
        <w:rPr>
          <w:rFonts w:ascii="Book Antiqua" w:hAnsi="Book Antiqua"/>
          <w:i/>
          <w:lang w:val="sr-Latn-RS"/>
        </w:rPr>
        <w:t xml:space="preserve"> primene mera zaštite u porodičnopravnoj zaštiti,</w:t>
      </w:r>
      <w:r w:rsidR="00EA7D12" w:rsidRPr="00EA7D12">
        <w:rPr>
          <w:rFonts w:ascii="Book Antiqua" w:hAnsi="Book Antiqua"/>
          <w:i/>
          <w:lang w:val="sr-Latn-RS"/>
        </w:rPr>
        <w:t xml:space="preserve"> načelom hitnosti u postupcima za zaštitu od nasilja u porodici, tumačenjem primenjenih normi međunarodnih dokumenata, odnosom prekršajnog i krivičnog postupka usled pravila ne bis in idem. Analizom je obuhvaćena praksa nacionalnih sudova u slučajevima nasilja, zlostavljanja i zanemarivanja</w:t>
      </w:r>
      <w:r w:rsidR="00974C98">
        <w:rPr>
          <w:rFonts w:ascii="Book Antiqua" w:hAnsi="Book Antiqua"/>
          <w:i/>
          <w:lang w:val="sr-Latn-RS"/>
        </w:rPr>
        <w:t xml:space="preserve"> deteta</w:t>
      </w:r>
      <w:r w:rsidR="00EA7D12" w:rsidRPr="00EA7D12">
        <w:rPr>
          <w:rFonts w:ascii="Book Antiqua" w:hAnsi="Book Antiqua"/>
          <w:i/>
          <w:lang w:val="sr-Latn-RS"/>
        </w:rPr>
        <w:t>,</w:t>
      </w:r>
      <w:r w:rsidR="00974C98">
        <w:rPr>
          <w:rFonts w:ascii="Book Antiqua" w:hAnsi="Book Antiqua"/>
          <w:i/>
          <w:lang w:val="sr-Latn-RS"/>
        </w:rPr>
        <w:t xml:space="preserve"> praksa Ustavnog suda Srbije,</w:t>
      </w:r>
      <w:r w:rsidR="00EA7D12" w:rsidRPr="00EA7D12">
        <w:rPr>
          <w:rFonts w:ascii="Book Antiqua" w:hAnsi="Book Antiqua"/>
          <w:i/>
          <w:lang w:val="sr-Latn-RS"/>
        </w:rPr>
        <w:t xml:space="preserve"> kao i Evropskog suda za ljudska prava</w:t>
      </w:r>
      <w:r w:rsidR="00974C98">
        <w:rPr>
          <w:rFonts w:ascii="Book Antiqua" w:hAnsi="Book Antiqua"/>
          <w:i/>
          <w:lang w:val="sr-Latn-RS"/>
        </w:rPr>
        <w:t>.</w:t>
      </w:r>
      <w:r w:rsidR="00EA7D12" w:rsidRPr="00EA7D12">
        <w:rPr>
          <w:rFonts w:ascii="Book Antiqua" w:hAnsi="Book Antiqua"/>
          <w:i/>
          <w:lang w:val="sr-Latn-RS"/>
        </w:rPr>
        <w:t xml:space="preserve"> </w:t>
      </w:r>
    </w:p>
    <w:p w:rsidR="0003376F" w:rsidRPr="0003376F" w:rsidRDefault="0003376F" w:rsidP="0003376F">
      <w:pPr>
        <w:jc w:val="center"/>
        <w:rPr>
          <w:rFonts w:ascii="Book Antiqua" w:eastAsiaTheme="majorEastAsia" w:hAnsi="Book Antiqua" w:cstheme="majorBidi"/>
          <w:b/>
          <w:bCs/>
          <w:i/>
          <w:color w:val="000000" w:themeColor="text1"/>
          <w:sz w:val="24"/>
          <w:szCs w:val="24"/>
          <w:lang w:val="sr-Latn-RS"/>
        </w:rPr>
      </w:pPr>
    </w:p>
    <w:p w:rsidR="00DF35B9" w:rsidRDefault="00DF35B9">
      <w:pPr>
        <w:rPr>
          <w:rFonts w:ascii="Book Antiqua" w:eastAsiaTheme="majorEastAsia" w:hAnsi="Book Antiqua" w:cstheme="majorBidi"/>
          <w:b/>
          <w:bCs/>
          <w:color w:val="000000" w:themeColor="text1"/>
          <w:sz w:val="24"/>
          <w:szCs w:val="24"/>
          <w:lang w:val="sr-Latn-RS"/>
        </w:rPr>
      </w:pPr>
      <w:r>
        <w:rPr>
          <w:rFonts w:ascii="Book Antiqua" w:hAnsi="Book Antiqua"/>
          <w:color w:val="000000" w:themeColor="text1"/>
          <w:sz w:val="24"/>
          <w:szCs w:val="24"/>
          <w:lang w:val="sr-Latn-RS"/>
        </w:rPr>
        <w:br w:type="page"/>
      </w:r>
    </w:p>
    <w:p w:rsidR="00500BC0" w:rsidRPr="000C6B39" w:rsidRDefault="00500BC0" w:rsidP="000C6B39">
      <w:pPr>
        <w:pStyle w:val="Heading1"/>
        <w:numPr>
          <w:ilvl w:val="0"/>
          <w:numId w:val="4"/>
        </w:numPr>
        <w:jc w:val="center"/>
        <w:rPr>
          <w:rFonts w:ascii="Book Antiqua" w:hAnsi="Book Antiqua"/>
          <w:color w:val="000000" w:themeColor="text1"/>
          <w:sz w:val="24"/>
          <w:szCs w:val="24"/>
          <w:lang w:val="sr-Latn-RS"/>
        </w:rPr>
      </w:pPr>
      <w:r w:rsidRPr="000C6B39">
        <w:rPr>
          <w:rFonts w:ascii="Book Antiqua" w:hAnsi="Book Antiqua"/>
          <w:color w:val="000000" w:themeColor="text1"/>
          <w:sz w:val="24"/>
          <w:szCs w:val="24"/>
          <w:lang w:val="sr-Latn-RS"/>
        </w:rPr>
        <w:lastRenderedPageBreak/>
        <w:t>UVOD</w:t>
      </w:r>
    </w:p>
    <w:p w:rsidR="00500BC0" w:rsidRPr="00500BC0" w:rsidRDefault="00500BC0" w:rsidP="00500BC0">
      <w:pPr>
        <w:rPr>
          <w:lang w:val="sr-Latn-RS"/>
        </w:rPr>
      </w:pPr>
    </w:p>
    <w:p w:rsidR="009536E7" w:rsidRPr="00463A13" w:rsidRDefault="0016368E" w:rsidP="00F05399">
      <w:pPr>
        <w:spacing w:line="240" w:lineRule="auto"/>
        <w:jc w:val="center"/>
        <w:rPr>
          <w:rFonts w:ascii="Book Antiqua" w:hAnsi="Book Antiqua"/>
          <w:i/>
          <w:lang w:val="sr-Latn-RS"/>
        </w:rPr>
      </w:pPr>
      <w:r w:rsidRPr="00463A13">
        <w:rPr>
          <w:rFonts w:ascii="Book Antiqua" w:hAnsi="Book Antiqua"/>
          <w:i/>
          <w:lang w:val="sr-Latn-RS"/>
        </w:rPr>
        <w:t>„...dete je ljudsko biće koje nije navršilo osamnaest godina života, ako se, na osnovu zakona koji se odnosi na dete punoletstvo ne stiče ranije“</w:t>
      </w:r>
      <w:r w:rsidRPr="00463A13">
        <w:rPr>
          <w:rStyle w:val="FootnoteReference"/>
          <w:rFonts w:ascii="Book Antiqua" w:hAnsi="Book Antiqua"/>
          <w:i/>
          <w:lang w:val="sr-Latn-RS"/>
        </w:rPr>
        <w:footnoteReference w:id="1"/>
      </w:r>
    </w:p>
    <w:p w:rsidR="006F4F0E" w:rsidRPr="006F4F0E" w:rsidRDefault="006F4F0E" w:rsidP="006F4F0E">
      <w:pPr>
        <w:spacing w:line="240" w:lineRule="auto"/>
        <w:jc w:val="center"/>
        <w:rPr>
          <w:rFonts w:ascii="Book Antiqua" w:hAnsi="Book Antiqua"/>
          <w:i/>
          <w:lang w:val="sr-Latn-RS"/>
        </w:rPr>
      </w:pPr>
      <w:r w:rsidRPr="002A157A">
        <w:rPr>
          <w:rFonts w:ascii="Book Antiqua" w:hAnsi="Book Antiqua"/>
          <w:i/>
          <w:lang w:val="sr-Latn-RS"/>
        </w:rPr>
        <w:t>„Deca žrtve nasilja i zanemarivanja su deca kod koje postoji opasnost da će postati žrtve ili ako jesu žrtve zlostavljanja, zanemarivanja, nasilja i eksploatacije, odnosno ako su im fizičko, psihičko ili emocionalno blagostanje i razvoj ugroženi delovanjem ili propustima roditelja, staratelja ili druge osobe koja se o njima neposredno stara.“</w:t>
      </w:r>
      <w:r w:rsidRPr="002A157A">
        <w:rPr>
          <w:rStyle w:val="FootnoteReference"/>
          <w:rFonts w:ascii="Book Antiqua" w:hAnsi="Book Antiqua"/>
          <w:i/>
          <w:lang w:val="sr-Latn-RS"/>
        </w:rPr>
        <w:footnoteReference w:id="2"/>
      </w:r>
    </w:p>
    <w:p w:rsidR="004D4AF6" w:rsidRPr="00463A13" w:rsidRDefault="00F05399" w:rsidP="006F4F0E">
      <w:pPr>
        <w:spacing w:line="240" w:lineRule="auto"/>
        <w:jc w:val="center"/>
        <w:rPr>
          <w:rFonts w:ascii="Book Antiqua" w:hAnsi="Book Antiqua"/>
          <w:i/>
          <w:lang w:val="sr-Latn-RS"/>
        </w:rPr>
      </w:pPr>
      <w:r w:rsidRPr="00463A13">
        <w:rPr>
          <w:rFonts w:ascii="Book Antiqua" w:hAnsi="Book Antiqua"/>
          <w:i/>
          <w:lang w:val="sr-Latn-RS"/>
        </w:rPr>
        <w:t>„Svako je dužan da se rukovodi najboljim interesom deteta u svim aktivnostima koje se tiču deteta.“</w:t>
      </w:r>
      <w:r w:rsidRPr="00463A13">
        <w:rPr>
          <w:rStyle w:val="FootnoteReference"/>
          <w:rFonts w:ascii="Book Antiqua" w:hAnsi="Book Antiqua"/>
          <w:i/>
          <w:lang w:val="sr-Latn-RS"/>
        </w:rPr>
        <w:footnoteReference w:id="3"/>
      </w:r>
    </w:p>
    <w:p w:rsidR="00500BC0" w:rsidRDefault="00500BC0" w:rsidP="00F05399">
      <w:pPr>
        <w:spacing w:line="240" w:lineRule="auto"/>
        <w:jc w:val="both"/>
        <w:rPr>
          <w:rFonts w:ascii="Book Antiqua" w:hAnsi="Book Antiqua"/>
          <w:lang w:val="sr-Cyrl-RS"/>
        </w:rPr>
      </w:pPr>
    </w:p>
    <w:p w:rsidR="00567FA1" w:rsidRDefault="00567FA1" w:rsidP="00F05399">
      <w:pPr>
        <w:spacing w:line="240" w:lineRule="auto"/>
        <w:jc w:val="both"/>
        <w:rPr>
          <w:rFonts w:ascii="Book Antiqua" w:hAnsi="Book Antiqua"/>
          <w:lang w:val="sr-Latn-RS"/>
        </w:rPr>
      </w:pPr>
      <w:r>
        <w:rPr>
          <w:rFonts w:ascii="Book Antiqua" w:hAnsi="Book Antiqua"/>
          <w:lang w:val="sr-Latn-RS"/>
        </w:rPr>
        <w:t>Opšte načelo je da n</w:t>
      </w:r>
      <w:r w:rsidRPr="00567FA1">
        <w:rPr>
          <w:rFonts w:ascii="Book Antiqua" w:hAnsi="Book Antiqua"/>
          <w:lang w:val="sr-Latn-RS"/>
        </w:rPr>
        <w:t>i</w:t>
      </w:r>
      <w:r w:rsidR="0001613F">
        <w:rPr>
          <w:rFonts w:ascii="Book Antiqua" w:hAnsi="Book Antiqua"/>
          <w:lang w:val="sr-Latn-RS"/>
        </w:rPr>
        <w:t xml:space="preserve"> </w:t>
      </w:r>
      <w:r w:rsidRPr="00567FA1">
        <w:rPr>
          <w:rFonts w:ascii="Book Antiqua" w:hAnsi="Book Antiqua"/>
          <w:lang w:val="sr-Latn-RS"/>
        </w:rPr>
        <w:t xml:space="preserve">jedno društvo ne sme da dozvoli da postoji nasilje nad decom i </w:t>
      </w:r>
      <w:r>
        <w:rPr>
          <w:rFonts w:ascii="Book Antiqua" w:hAnsi="Book Antiqua"/>
          <w:lang w:val="sr-Latn-RS"/>
        </w:rPr>
        <w:t xml:space="preserve">ako već postoji </w:t>
      </w:r>
      <w:r w:rsidRPr="00567FA1">
        <w:rPr>
          <w:rFonts w:ascii="Book Antiqua" w:hAnsi="Book Antiqua"/>
          <w:lang w:val="sr-Latn-RS"/>
        </w:rPr>
        <w:t>ne sme da ga ignoriše</w:t>
      </w:r>
      <w:r>
        <w:rPr>
          <w:rFonts w:ascii="Book Antiqua" w:hAnsi="Book Antiqua"/>
          <w:lang w:val="sr-Latn-RS"/>
        </w:rPr>
        <w:t xml:space="preserve">. </w:t>
      </w:r>
    </w:p>
    <w:p w:rsidR="00B90645" w:rsidRDefault="00727880" w:rsidP="00F05399">
      <w:pPr>
        <w:spacing w:line="240" w:lineRule="auto"/>
        <w:jc w:val="both"/>
        <w:rPr>
          <w:rFonts w:ascii="Book Antiqua" w:hAnsi="Book Antiqua"/>
          <w:lang w:val="sr-Latn-RS"/>
        </w:rPr>
      </w:pPr>
      <w:r>
        <w:rPr>
          <w:rFonts w:ascii="Book Antiqua" w:hAnsi="Book Antiqua"/>
          <w:lang w:val="sr-Latn-RS"/>
        </w:rPr>
        <w:t>U R</w:t>
      </w:r>
      <w:r w:rsidR="00B36E66">
        <w:rPr>
          <w:rFonts w:ascii="Book Antiqua" w:hAnsi="Book Antiqua"/>
          <w:lang w:val="sr-Latn-RS"/>
        </w:rPr>
        <w:t>epublici Srbiji</w:t>
      </w:r>
      <w:r w:rsidR="00500BC0">
        <w:rPr>
          <w:rFonts w:ascii="Book Antiqua" w:hAnsi="Book Antiqua"/>
          <w:lang w:val="sr-Latn-RS"/>
        </w:rPr>
        <w:t xml:space="preserve"> veliki </w:t>
      </w:r>
      <w:r w:rsidR="00B36E66">
        <w:rPr>
          <w:rFonts w:ascii="Book Antiqua" w:hAnsi="Book Antiqua"/>
          <w:lang w:val="sr-Latn-RS"/>
        </w:rPr>
        <w:t xml:space="preserve">je </w:t>
      </w:r>
      <w:r w:rsidR="00500BC0">
        <w:rPr>
          <w:rFonts w:ascii="Book Antiqua" w:hAnsi="Book Antiqua"/>
          <w:lang w:val="sr-Latn-RS"/>
        </w:rPr>
        <w:t xml:space="preserve">broj pravnih dokumenata koji regulišu </w:t>
      </w:r>
      <w:r>
        <w:rPr>
          <w:rFonts w:ascii="Book Antiqua" w:hAnsi="Book Antiqua"/>
          <w:lang w:val="sr-Latn-RS"/>
        </w:rPr>
        <w:t>oblast zaštite deteta od nasilja, zlostavljanja i zanemarivanja, i to kako zakona, potvrđenih i ratifikovanih međunarodnih dokumenata, tako i podzakonskih akata</w:t>
      </w:r>
      <w:r w:rsidR="00153262">
        <w:rPr>
          <w:rFonts w:ascii="Book Antiqua" w:hAnsi="Book Antiqua"/>
          <w:lang w:val="sr-Latn-RS"/>
        </w:rPr>
        <w:t xml:space="preserve"> i protokola</w:t>
      </w:r>
      <w:r>
        <w:rPr>
          <w:rFonts w:ascii="Book Antiqua" w:hAnsi="Book Antiqua"/>
          <w:lang w:val="sr-Latn-RS"/>
        </w:rPr>
        <w:t xml:space="preserve">. Ova analiza bavi </w:t>
      </w:r>
      <w:r w:rsidR="00B36E66">
        <w:rPr>
          <w:rFonts w:ascii="Book Antiqua" w:hAnsi="Book Antiqua"/>
          <w:lang w:val="sr-Latn-RS"/>
        </w:rPr>
        <w:t xml:space="preserve">se </w:t>
      </w:r>
      <w:r>
        <w:rPr>
          <w:rFonts w:ascii="Book Antiqua" w:hAnsi="Book Antiqua"/>
          <w:lang w:val="sr-Latn-RS"/>
        </w:rPr>
        <w:t xml:space="preserve">istraživanjem primene zakona, međunarodnih dokumenata koji su deo nacionalnog zakonodavstva i opšteprihvaćenih međunarodnih pravnih standarda u ovoj oblasti, ali iz ugla </w:t>
      </w:r>
      <w:r w:rsidR="0001613F">
        <w:rPr>
          <w:rFonts w:ascii="Book Antiqua" w:hAnsi="Book Antiqua"/>
          <w:lang w:val="sr-Latn-RS"/>
        </w:rPr>
        <w:t xml:space="preserve">zaštite </w:t>
      </w:r>
      <w:r>
        <w:rPr>
          <w:rFonts w:ascii="Book Antiqua" w:hAnsi="Book Antiqua"/>
          <w:lang w:val="sr-Latn-RS"/>
        </w:rPr>
        <w:t xml:space="preserve">najboljeg interesa deteta prilikom pružanja </w:t>
      </w:r>
      <w:r w:rsidR="0001613F">
        <w:rPr>
          <w:rFonts w:ascii="Book Antiqua" w:hAnsi="Book Antiqua"/>
          <w:lang w:val="sr-Latn-RS"/>
        </w:rPr>
        <w:t xml:space="preserve">sudske </w:t>
      </w:r>
      <w:r>
        <w:rPr>
          <w:rFonts w:ascii="Book Antiqua" w:hAnsi="Book Antiqua"/>
          <w:lang w:val="sr-Latn-RS"/>
        </w:rPr>
        <w:t>zaštite detetu od nasilja,</w:t>
      </w:r>
      <w:r w:rsidR="00B90645">
        <w:rPr>
          <w:rFonts w:ascii="Book Antiqua" w:hAnsi="Book Antiqua"/>
          <w:lang w:val="sr-Latn-RS"/>
        </w:rPr>
        <w:t xml:space="preserve"> zlostavljanja i zanemarivanja. </w:t>
      </w:r>
      <w:r>
        <w:rPr>
          <w:rFonts w:ascii="Book Antiqua" w:hAnsi="Book Antiqua"/>
          <w:lang w:val="sr-Latn-RS"/>
        </w:rPr>
        <w:t xml:space="preserve"> </w:t>
      </w:r>
    </w:p>
    <w:p w:rsidR="00BA3548" w:rsidRPr="00617155" w:rsidRDefault="009536E7" w:rsidP="00F05399">
      <w:pPr>
        <w:spacing w:line="240" w:lineRule="auto"/>
        <w:jc w:val="both"/>
        <w:rPr>
          <w:rFonts w:ascii="Book Antiqua" w:hAnsi="Book Antiqua"/>
          <w:lang w:val="sr-Latn-RS"/>
        </w:rPr>
      </w:pPr>
      <w:r w:rsidRPr="00617155">
        <w:rPr>
          <w:rFonts w:ascii="Book Antiqua" w:hAnsi="Book Antiqua"/>
          <w:lang w:val="sr-Latn-RS"/>
        </w:rPr>
        <w:t xml:space="preserve">Ratifikovani i potvrđeni međunarodni dokumenti predstavljaju sastavni deo nacionalnog zakonodavstva Republike Srbije, i kao takvi se neposredno primenjuju. I pored toga, problem postoji u neposrednoj primeni ratifikovanih ili potvrđenih međunarodnih dokumenata koja u velikom broju slučajeva i nije moguća jer većina njihovih odredbi nije samoizvršiva. S tim u vezi, </w:t>
      </w:r>
      <w:r w:rsidR="00BA3548" w:rsidRPr="00617155">
        <w:rPr>
          <w:rFonts w:ascii="Book Antiqua" w:hAnsi="Book Antiqua"/>
          <w:lang w:val="sr-Latn-RS"/>
        </w:rPr>
        <w:t xml:space="preserve">u cilju obezbeđivanja pune primene potvrđenih međunarodnih ugovora </w:t>
      </w:r>
      <w:r w:rsidRPr="00617155">
        <w:rPr>
          <w:rFonts w:ascii="Book Antiqua" w:hAnsi="Book Antiqua"/>
          <w:lang w:val="sr-Latn-RS"/>
        </w:rPr>
        <w:t>neophodno je</w:t>
      </w:r>
      <w:r w:rsidR="00BA3548" w:rsidRPr="00617155">
        <w:rPr>
          <w:rFonts w:ascii="Book Antiqua" w:hAnsi="Book Antiqua"/>
          <w:lang w:val="sr-Latn-RS"/>
        </w:rPr>
        <w:t xml:space="preserve"> usaglasiti celokupno nacionalno zakonodavstvo, donošenjem novih zakona ili usaglašavanjem postojećeg zakonodavnog okvira.  </w:t>
      </w:r>
      <w:r w:rsidRPr="00617155">
        <w:rPr>
          <w:rFonts w:ascii="Book Antiqua" w:hAnsi="Book Antiqua"/>
          <w:lang w:val="sr-Latn-RS"/>
        </w:rPr>
        <w:t xml:space="preserve"> </w:t>
      </w:r>
    </w:p>
    <w:p w:rsidR="0016368E" w:rsidRPr="00617155" w:rsidRDefault="00727880" w:rsidP="00F05399">
      <w:pPr>
        <w:spacing w:line="240" w:lineRule="auto"/>
        <w:jc w:val="both"/>
        <w:rPr>
          <w:rFonts w:ascii="Book Antiqua" w:hAnsi="Book Antiqua"/>
          <w:lang w:val="sr-Latn-RS"/>
        </w:rPr>
      </w:pPr>
      <w:r>
        <w:rPr>
          <w:rFonts w:ascii="Book Antiqua" w:hAnsi="Book Antiqua"/>
          <w:lang w:val="sr-Latn-RS"/>
        </w:rPr>
        <w:t xml:space="preserve">Krovni dokumenti u ovoj oblasti su </w:t>
      </w:r>
      <w:r w:rsidRPr="008E1841">
        <w:rPr>
          <w:rFonts w:ascii="Book Antiqua" w:hAnsi="Book Antiqua"/>
          <w:b/>
          <w:lang w:val="sr-Latn-RS"/>
        </w:rPr>
        <w:t>Konvencij</w:t>
      </w:r>
      <w:r>
        <w:rPr>
          <w:rFonts w:ascii="Book Antiqua" w:hAnsi="Book Antiqua"/>
          <w:b/>
          <w:lang w:val="sr-Latn-RS"/>
        </w:rPr>
        <w:t>a</w:t>
      </w:r>
      <w:r w:rsidRPr="008E1841">
        <w:rPr>
          <w:rFonts w:ascii="Book Antiqua" w:hAnsi="Book Antiqua"/>
          <w:b/>
          <w:lang w:val="sr-Latn-RS"/>
        </w:rPr>
        <w:t xml:space="preserve"> Ujedinjenih nacija o pravima deteta</w:t>
      </w:r>
      <w:r w:rsidRPr="00617155">
        <w:rPr>
          <w:rFonts w:ascii="Book Antiqua" w:hAnsi="Book Antiqua"/>
          <w:lang w:val="sr-Latn-RS"/>
        </w:rPr>
        <w:t xml:space="preserve"> (dalje: Konvencija)</w:t>
      </w:r>
      <w:r w:rsidRPr="00617155">
        <w:rPr>
          <w:rStyle w:val="FootnoteReference"/>
          <w:rFonts w:ascii="Book Antiqua" w:hAnsi="Book Antiqua"/>
          <w:lang w:val="sr-Latn-RS"/>
        </w:rPr>
        <w:footnoteReference w:id="4"/>
      </w:r>
      <w:r w:rsidRPr="00617155">
        <w:rPr>
          <w:rFonts w:ascii="Book Antiqua" w:hAnsi="Book Antiqua"/>
          <w:lang w:val="sr-Latn-RS"/>
        </w:rPr>
        <w:t>,</w:t>
      </w:r>
      <w:r>
        <w:rPr>
          <w:rFonts w:ascii="Book Antiqua" w:hAnsi="Book Antiqua"/>
          <w:lang w:val="sr-Latn-RS"/>
        </w:rPr>
        <w:t xml:space="preserve"> </w:t>
      </w:r>
      <w:r w:rsidRPr="00727880">
        <w:rPr>
          <w:rFonts w:ascii="Book Antiqua" w:hAnsi="Book Antiqua"/>
          <w:b/>
          <w:lang w:val="sr-Latn-RS"/>
        </w:rPr>
        <w:t>Porodični zakon</w:t>
      </w:r>
      <w:r>
        <w:rPr>
          <w:rStyle w:val="FootnoteReference"/>
          <w:rFonts w:ascii="Book Antiqua" w:hAnsi="Book Antiqua"/>
          <w:lang w:val="sr-Latn-RS"/>
        </w:rPr>
        <w:footnoteReference w:id="5"/>
      </w:r>
      <w:r>
        <w:rPr>
          <w:rFonts w:ascii="Book Antiqua" w:hAnsi="Book Antiqua"/>
          <w:lang w:val="sr-Latn-RS"/>
        </w:rPr>
        <w:t xml:space="preserve"> i </w:t>
      </w:r>
      <w:r w:rsidRPr="00727880">
        <w:rPr>
          <w:rFonts w:ascii="Book Antiqua" w:hAnsi="Book Antiqua"/>
          <w:b/>
          <w:lang w:val="sr-Latn-RS"/>
        </w:rPr>
        <w:t>Krivični zakonik</w:t>
      </w:r>
      <w:r>
        <w:rPr>
          <w:rStyle w:val="FootnoteReference"/>
          <w:rFonts w:ascii="Book Antiqua" w:hAnsi="Book Antiqua"/>
          <w:lang w:val="sr-Latn-RS"/>
        </w:rPr>
        <w:footnoteReference w:id="6"/>
      </w:r>
      <w:r>
        <w:rPr>
          <w:rFonts w:ascii="Book Antiqua" w:hAnsi="Book Antiqua"/>
          <w:lang w:val="sr-Latn-RS"/>
        </w:rPr>
        <w:t xml:space="preserve">. Konvenciju je </w:t>
      </w:r>
      <w:r w:rsidR="009536E7" w:rsidRPr="00617155">
        <w:rPr>
          <w:rFonts w:ascii="Book Antiqua" w:hAnsi="Book Antiqua"/>
          <w:lang w:val="sr-Latn-RS"/>
        </w:rPr>
        <w:t xml:space="preserve">Republika Srbija </w:t>
      </w:r>
      <w:r w:rsidRPr="00617155">
        <w:rPr>
          <w:rFonts w:ascii="Book Antiqua" w:hAnsi="Book Antiqua"/>
          <w:lang w:val="sr-Latn-RS"/>
        </w:rPr>
        <w:t xml:space="preserve">ratifikovala </w:t>
      </w:r>
      <w:r w:rsidR="009536E7" w:rsidRPr="00617155">
        <w:rPr>
          <w:rFonts w:ascii="Book Antiqua" w:hAnsi="Book Antiqua"/>
          <w:lang w:val="sr-Latn-RS"/>
        </w:rPr>
        <w:t>1990 godine</w:t>
      </w:r>
      <w:r>
        <w:rPr>
          <w:rFonts w:ascii="Book Antiqua" w:hAnsi="Book Antiqua"/>
          <w:lang w:val="sr-Latn-RS"/>
        </w:rPr>
        <w:t>, i</w:t>
      </w:r>
      <w:r w:rsidR="009536E7" w:rsidRPr="00617155">
        <w:rPr>
          <w:rFonts w:ascii="Book Antiqua" w:hAnsi="Book Antiqua"/>
          <w:lang w:val="sr-Latn-RS"/>
        </w:rPr>
        <w:t xml:space="preserve"> </w:t>
      </w:r>
      <w:r>
        <w:rPr>
          <w:rFonts w:ascii="Book Antiqua" w:hAnsi="Book Antiqua"/>
          <w:lang w:val="sr-Latn-RS"/>
        </w:rPr>
        <w:t>time</w:t>
      </w:r>
      <w:r w:rsidR="009536E7" w:rsidRPr="00617155">
        <w:rPr>
          <w:rFonts w:ascii="Book Antiqua" w:hAnsi="Book Antiqua"/>
          <w:lang w:val="sr-Latn-RS"/>
        </w:rPr>
        <w:t xml:space="preserve"> se obavezala</w:t>
      </w:r>
      <w:r w:rsidR="0016368E" w:rsidRPr="00617155">
        <w:rPr>
          <w:rFonts w:ascii="Book Antiqua" w:hAnsi="Book Antiqua"/>
          <w:lang w:val="sr-Latn-RS"/>
        </w:rPr>
        <w:t xml:space="preserve"> na poštovanje i obezbeđivanje prava sadržanih u Konvenciji svakom detetu pod njenom jurisdikcijom, preduzimanjem svih potrebnih mera kako bi se obezbedila zaštita deteta od svih oblika diskriminacije (bez obzira na rasu, pol, jezik, veroispovest, nacionalno, etničko ili socijalno poreklo, rođenje ili drugi status deteta, njegovog roditelja ili zakonitog staratelja, imovno stanje, onesposobljenost, političko ili drugo ubeđenje) </w:t>
      </w:r>
      <w:r w:rsidR="0016368E" w:rsidRPr="00617155">
        <w:rPr>
          <w:rFonts w:ascii="Book Antiqua" w:hAnsi="Book Antiqua"/>
          <w:lang w:val="sr-Latn-RS"/>
        </w:rPr>
        <w:lastRenderedPageBreak/>
        <w:t xml:space="preserve">ili kazne (zasnovane na statusu, aktivnostima, izraženom mišljenju ili ubeđenju roditelja, zakonitih staratelja ili članova porodice deteta). </w:t>
      </w:r>
      <w:r w:rsidR="00213355">
        <w:rPr>
          <w:rFonts w:ascii="Book Antiqua" w:hAnsi="Book Antiqua"/>
          <w:lang w:val="sr-Latn-RS"/>
        </w:rPr>
        <w:t xml:space="preserve">Konvencija naglašava potrebu za zaštitom najboljeg interesa deteta u nekoliko članova, gde nalaže državama neophodnost da se u svim postupcima u kojima se odlučuje o pravima deteta rukovodi najboljim interesom deteta. </w:t>
      </w:r>
    </w:p>
    <w:p w:rsidR="00BA3548" w:rsidRDefault="00A55FE7" w:rsidP="00F05399">
      <w:pPr>
        <w:spacing w:line="240" w:lineRule="auto"/>
        <w:jc w:val="both"/>
        <w:rPr>
          <w:rFonts w:ascii="Book Antiqua" w:hAnsi="Book Antiqua"/>
          <w:lang w:val="sr-Latn-RS"/>
        </w:rPr>
      </w:pPr>
      <w:r w:rsidRPr="00A55FE7">
        <w:rPr>
          <w:rFonts w:ascii="Book Antiqua" w:hAnsi="Book Antiqua"/>
          <w:lang w:val="sr-Latn-RS"/>
        </w:rPr>
        <w:t xml:space="preserve">Konvencijom </w:t>
      </w:r>
      <w:r>
        <w:rPr>
          <w:rFonts w:ascii="Book Antiqua" w:hAnsi="Book Antiqua"/>
          <w:lang w:val="sr-Latn-RS"/>
        </w:rPr>
        <w:t xml:space="preserve">je </w:t>
      </w:r>
      <w:r w:rsidRPr="00A55FE7">
        <w:rPr>
          <w:rFonts w:ascii="Book Antiqua" w:hAnsi="Book Antiqua"/>
          <w:lang w:val="sr-Latn-RS"/>
        </w:rPr>
        <w:t xml:space="preserve">ustanovljen </w:t>
      </w:r>
      <w:r w:rsidR="00BA3548" w:rsidRPr="00A55FE7">
        <w:rPr>
          <w:rFonts w:ascii="Book Antiqua" w:hAnsi="Book Antiqua"/>
          <w:b/>
          <w:lang w:val="sr-Latn-RS"/>
        </w:rPr>
        <w:t>Komitet za prava deteta</w:t>
      </w:r>
      <w:r w:rsidR="00930B1B" w:rsidRPr="00A55FE7">
        <w:rPr>
          <w:rFonts w:ascii="Book Antiqua" w:hAnsi="Book Antiqua"/>
          <w:b/>
          <w:lang w:val="sr-Latn-RS"/>
        </w:rPr>
        <w:t xml:space="preserve"> </w:t>
      </w:r>
      <w:r w:rsidR="00617155" w:rsidRPr="00A55FE7">
        <w:rPr>
          <w:rFonts w:ascii="Book Antiqua" w:hAnsi="Book Antiqua"/>
          <w:lang w:val="sr-Latn-RS"/>
        </w:rPr>
        <w:t>(dalje: Komitet)</w:t>
      </w:r>
      <w:r>
        <w:rPr>
          <w:rFonts w:ascii="Book Antiqua" w:hAnsi="Book Antiqua"/>
          <w:lang w:val="sr-Latn-RS"/>
        </w:rPr>
        <w:t>, koji</w:t>
      </w:r>
      <w:r w:rsidR="00BA3548" w:rsidRPr="00A55FE7">
        <w:rPr>
          <w:rFonts w:ascii="Book Antiqua" w:hAnsi="Book Antiqua"/>
          <w:lang w:val="sr-Latn-RS"/>
        </w:rPr>
        <w:t xml:space="preserve"> prati poštovanje odredaba </w:t>
      </w:r>
      <w:r w:rsidR="00975C32" w:rsidRPr="00A55FE7">
        <w:rPr>
          <w:rFonts w:ascii="Book Antiqua" w:hAnsi="Book Antiqua"/>
          <w:lang w:val="sr-Latn-RS"/>
        </w:rPr>
        <w:t>ove konvencije,</w:t>
      </w:r>
      <w:r w:rsidR="00BA3548" w:rsidRPr="00A55FE7">
        <w:rPr>
          <w:rFonts w:ascii="Book Antiqua" w:hAnsi="Book Antiqua"/>
          <w:lang w:val="sr-Latn-RS"/>
        </w:rPr>
        <w:t xml:space="preserve"> </w:t>
      </w:r>
      <w:r w:rsidR="00930B1B" w:rsidRPr="00A55FE7">
        <w:rPr>
          <w:rFonts w:ascii="Book Antiqua" w:hAnsi="Book Antiqua"/>
          <w:lang w:val="sr-Latn-RS"/>
        </w:rPr>
        <w:t xml:space="preserve">a </w:t>
      </w:r>
      <w:r>
        <w:rPr>
          <w:rFonts w:ascii="Book Antiqua" w:hAnsi="Book Antiqua"/>
          <w:lang w:val="sr-Latn-RS"/>
        </w:rPr>
        <w:t xml:space="preserve">kome su </w:t>
      </w:r>
      <w:r w:rsidR="00BA3548" w:rsidRPr="00A55FE7">
        <w:rPr>
          <w:rFonts w:ascii="Book Antiqua" w:hAnsi="Book Antiqua"/>
          <w:lang w:val="sr-Latn-RS"/>
        </w:rPr>
        <w:t xml:space="preserve">države dužne da podnose periodične </w:t>
      </w:r>
      <w:r w:rsidR="00975C32" w:rsidRPr="00A55FE7">
        <w:rPr>
          <w:rFonts w:ascii="Book Antiqua" w:hAnsi="Book Antiqua"/>
          <w:lang w:val="sr-Latn-RS"/>
        </w:rPr>
        <w:t xml:space="preserve">izveštaje o merama koje su usvojile, kao i izveštaje o napretku postignutom u ostvarivanju prava priznatih ovom Konvencijom. </w:t>
      </w:r>
      <w:r w:rsidR="00617155" w:rsidRPr="00A55FE7">
        <w:rPr>
          <w:rFonts w:ascii="Book Antiqua" w:hAnsi="Book Antiqua"/>
          <w:lang w:val="sr-Latn-RS"/>
        </w:rPr>
        <w:t>Poslednji izveštaj</w:t>
      </w:r>
      <w:r w:rsidR="00537FDA" w:rsidRPr="00A55FE7">
        <w:rPr>
          <w:rStyle w:val="FootnoteReference"/>
          <w:rFonts w:ascii="Book Antiqua" w:hAnsi="Book Antiqua"/>
          <w:lang w:val="sr-Latn-RS"/>
        </w:rPr>
        <w:footnoteReference w:id="7"/>
      </w:r>
      <w:r w:rsidR="00617155" w:rsidRPr="00A55FE7">
        <w:rPr>
          <w:rFonts w:ascii="Book Antiqua" w:hAnsi="Book Antiqua"/>
          <w:lang w:val="sr-Latn-RS"/>
        </w:rPr>
        <w:t xml:space="preserve"> koji je Republika Srbija dostavila </w:t>
      </w:r>
      <w:r w:rsidR="00537FDA" w:rsidRPr="00A55FE7">
        <w:rPr>
          <w:rFonts w:ascii="Book Antiqua" w:hAnsi="Book Antiqua"/>
          <w:lang w:val="sr-Latn-RS"/>
        </w:rPr>
        <w:t>Komi</w:t>
      </w:r>
      <w:r w:rsidR="00FD39E7" w:rsidRPr="00A55FE7">
        <w:rPr>
          <w:rFonts w:ascii="Book Antiqua" w:hAnsi="Book Antiqua"/>
          <w:lang w:val="sr-Latn-RS"/>
        </w:rPr>
        <w:t>tetu je od 21. juna 2016.godine</w:t>
      </w:r>
      <w:r>
        <w:rPr>
          <w:rFonts w:ascii="Book Antiqua" w:hAnsi="Book Antiqua"/>
          <w:lang w:val="sr-Latn-RS"/>
        </w:rPr>
        <w:t>.</w:t>
      </w:r>
    </w:p>
    <w:p w:rsidR="007C327E" w:rsidRPr="0010008F" w:rsidRDefault="007C327E" w:rsidP="007C327E">
      <w:pPr>
        <w:spacing w:line="240" w:lineRule="auto"/>
        <w:jc w:val="both"/>
        <w:rPr>
          <w:rFonts w:ascii="Book Antiqua" w:hAnsi="Book Antiqua"/>
          <w:lang w:val="sr-Latn-RS"/>
        </w:rPr>
      </w:pPr>
      <w:r>
        <w:rPr>
          <w:rFonts w:ascii="Book Antiqua" w:hAnsi="Book Antiqua"/>
          <w:lang w:val="sr-Latn-RS"/>
        </w:rPr>
        <w:t xml:space="preserve">Pored navedenih </w:t>
      </w:r>
      <w:r w:rsidRPr="0010008F">
        <w:rPr>
          <w:rFonts w:ascii="Book Antiqua" w:hAnsi="Book Antiqua"/>
          <w:lang w:val="sr-Latn-RS"/>
        </w:rPr>
        <w:t>propis</w:t>
      </w:r>
      <w:r>
        <w:rPr>
          <w:rFonts w:ascii="Book Antiqua" w:hAnsi="Book Antiqua"/>
          <w:lang w:val="sr-Latn-RS"/>
        </w:rPr>
        <w:t>a</w:t>
      </w:r>
      <w:r w:rsidRPr="0010008F">
        <w:rPr>
          <w:rFonts w:ascii="Book Antiqua" w:hAnsi="Book Antiqua"/>
          <w:lang w:val="sr-Latn-RS"/>
        </w:rPr>
        <w:t xml:space="preserve"> </w:t>
      </w:r>
      <w:r>
        <w:rPr>
          <w:rFonts w:ascii="Book Antiqua" w:hAnsi="Book Antiqua"/>
          <w:lang w:val="sr-Latn-RS"/>
        </w:rPr>
        <w:t>važno je pomenuti i one</w:t>
      </w:r>
      <w:r w:rsidRPr="0010008F">
        <w:rPr>
          <w:rFonts w:ascii="Book Antiqua" w:hAnsi="Book Antiqua"/>
          <w:lang w:val="sr-Latn-RS"/>
        </w:rPr>
        <w:t xml:space="preserve"> iz oblasti obrazovanja i drugih relevantnih oblasti. Tako, pre svega </w:t>
      </w:r>
      <w:r w:rsidRPr="0010008F">
        <w:rPr>
          <w:rFonts w:ascii="Book Antiqua" w:hAnsi="Book Antiqua"/>
          <w:b/>
          <w:lang w:val="sr-Latn-RS"/>
        </w:rPr>
        <w:t>Zakon o osnovama sistema vaspitanja i obrazovanja</w:t>
      </w:r>
      <w:r w:rsidRPr="0010008F">
        <w:rPr>
          <w:rStyle w:val="FootnoteReference"/>
          <w:rFonts w:ascii="Book Antiqua" w:hAnsi="Book Antiqua"/>
          <w:b/>
          <w:lang w:val="sr-Latn-RS"/>
        </w:rPr>
        <w:footnoteReference w:id="8"/>
      </w:r>
      <w:r w:rsidRPr="0010008F">
        <w:rPr>
          <w:rFonts w:ascii="Book Antiqua" w:hAnsi="Book Antiqua"/>
          <w:lang w:val="sr-Latn-RS"/>
        </w:rPr>
        <w:t xml:space="preserve"> brani nasilje, zlostavljanje i zanemarivanje dece u ustanovi vaspitanja ili obrazovanja i sadrži prekršajne odredbe u slučaju povrede ove zabrane. Vlada Republike Srbije je 2005. godine donela </w:t>
      </w:r>
      <w:r w:rsidRPr="0010008F">
        <w:rPr>
          <w:rFonts w:ascii="Book Antiqua" w:hAnsi="Book Antiqua"/>
          <w:b/>
          <w:lang w:val="sr-Latn-RS"/>
        </w:rPr>
        <w:t>Opšti protokol za zaštitu dece od zlostavljanja i zanemarivanja</w:t>
      </w:r>
      <w:r w:rsidRPr="0010008F">
        <w:rPr>
          <w:rFonts w:ascii="Book Antiqua" w:hAnsi="Book Antiqua"/>
          <w:lang w:val="sr-Latn-RS"/>
        </w:rPr>
        <w:t>,</w:t>
      </w:r>
      <w:r w:rsidRPr="0010008F">
        <w:rPr>
          <w:rStyle w:val="FootnoteReference"/>
          <w:rFonts w:ascii="Book Antiqua" w:hAnsi="Book Antiqua"/>
          <w:lang w:val="sr-Latn-RS"/>
        </w:rPr>
        <w:footnoteReference w:id="9"/>
      </w:r>
      <w:r w:rsidRPr="0010008F">
        <w:rPr>
          <w:rFonts w:ascii="Book Antiqua" w:hAnsi="Book Antiqua"/>
          <w:lang w:val="sr-Latn-RS"/>
        </w:rPr>
        <w:t xml:space="preserve"> koji je sačinjen tako da u potpun</w:t>
      </w:r>
      <w:r w:rsidR="00955ED6">
        <w:rPr>
          <w:rFonts w:ascii="Book Antiqua" w:hAnsi="Book Antiqua"/>
          <w:lang w:val="sr-Latn-RS"/>
        </w:rPr>
        <w:t>osti poštuje osnovne principe iz</w:t>
      </w:r>
      <w:r w:rsidRPr="0010008F">
        <w:rPr>
          <w:rFonts w:ascii="Book Antiqua" w:hAnsi="Book Antiqua"/>
          <w:lang w:val="sr-Latn-RS"/>
        </w:rPr>
        <w:t xml:space="preserve"> Konvencije Ujedinjenih nacija o pravima deteta, a koji su ugrađeni i u </w:t>
      </w:r>
      <w:r w:rsidRPr="0010008F">
        <w:rPr>
          <w:rFonts w:ascii="Book Antiqua" w:hAnsi="Book Antiqua"/>
          <w:b/>
          <w:lang w:val="sr-Latn-RS"/>
        </w:rPr>
        <w:t>Nacionalni plan akcije za decu</w:t>
      </w:r>
      <w:r w:rsidRPr="0010008F">
        <w:rPr>
          <w:rStyle w:val="FootnoteReference"/>
          <w:rFonts w:ascii="Book Antiqua" w:hAnsi="Book Antiqua"/>
          <w:lang w:val="sr-Latn-RS"/>
        </w:rPr>
        <w:footnoteReference w:id="10"/>
      </w:r>
      <w:r w:rsidRPr="0010008F">
        <w:rPr>
          <w:rFonts w:ascii="Book Antiqua" w:hAnsi="Book Antiqua"/>
          <w:lang w:val="sr-Latn-RS"/>
        </w:rPr>
        <w:t xml:space="preserve">. Zatim </w:t>
      </w:r>
      <w:r>
        <w:rPr>
          <w:rFonts w:ascii="Book Antiqua" w:hAnsi="Book Antiqua"/>
          <w:lang w:val="sr-Latn-RS"/>
        </w:rPr>
        <w:t>posebni protokoli</w:t>
      </w:r>
      <w:r w:rsidRPr="0010008F">
        <w:rPr>
          <w:rFonts w:ascii="Book Antiqua" w:hAnsi="Book Antiqua"/>
          <w:lang w:val="sr-Latn-RS"/>
        </w:rPr>
        <w:t xml:space="preserve"> koji regulišu postupke za zaštitu deteta u specifičnim sektorima</w:t>
      </w:r>
      <w:r>
        <w:rPr>
          <w:rFonts w:ascii="Book Antiqua" w:hAnsi="Book Antiqua"/>
          <w:lang w:val="sr-Latn-RS"/>
        </w:rPr>
        <w:t xml:space="preserve"> koje su donela</w:t>
      </w:r>
      <w:r w:rsidRPr="0010008F">
        <w:rPr>
          <w:rFonts w:ascii="Book Antiqua" w:hAnsi="Book Antiqua"/>
          <w:lang w:val="sr-Latn-RS"/>
        </w:rPr>
        <w:t xml:space="preserve"> resorna ministarstva. Poseban protokol za zaštitu dece i učenika od nasilja, zlostavljanja i zanemarivanja u obrazovno-vaspitnim ustanovama donet je 2007. godine, a zatim je Ministarstvo prosvete Republike Srbije, Beograd, donelo i </w:t>
      </w:r>
      <w:r w:rsidRPr="0010008F">
        <w:rPr>
          <w:rFonts w:ascii="Book Antiqua" w:hAnsi="Book Antiqua"/>
          <w:b/>
          <w:lang w:val="sr-Latn-RS"/>
        </w:rPr>
        <w:t>Pravilnik o protokolu postupanja u ustanovi u odgovoru na nasilje, zlostavljanje i zanemarivanje</w:t>
      </w:r>
      <w:r w:rsidRPr="0010008F">
        <w:rPr>
          <w:rStyle w:val="FootnoteReference"/>
          <w:rFonts w:ascii="Book Antiqua" w:hAnsi="Book Antiqua"/>
          <w:b/>
          <w:lang w:val="sr-Latn-RS"/>
        </w:rPr>
        <w:footnoteReference w:id="11"/>
      </w:r>
      <w:r w:rsidRPr="0010008F">
        <w:rPr>
          <w:rFonts w:ascii="Book Antiqua" w:hAnsi="Book Antiqua"/>
          <w:lang w:val="sr-Latn-RS"/>
        </w:rPr>
        <w:t xml:space="preserve"> koji razrađuje odredbe Protokola. </w:t>
      </w:r>
    </w:p>
    <w:p w:rsidR="007C327E" w:rsidRDefault="007C327E" w:rsidP="007C327E">
      <w:pPr>
        <w:spacing w:line="240" w:lineRule="auto"/>
        <w:jc w:val="both"/>
        <w:rPr>
          <w:rFonts w:ascii="Book Antiqua" w:hAnsi="Book Antiqua"/>
          <w:color w:val="000000" w:themeColor="text1"/>
          <w:sz w:val="24"/>
          <w:szCs w:val="24"/>
          <w:lang w:val="sr-Latn-RS"/>
        </w:rPr>
      </w:pPr>
      <w:r w:rsidRPr="0010008F">
        <w:rPr>
          <w:rFonts w:ascii="Book Antiqua" w:hAnsi="Book Antiqua"/>
          <w:lang w:val="sr-Latn-RS"/>
        </w:rPr>
        <w:t>Ostali protokoli koje je Vlada donela</w:t>
      </w:r>
      <w:r>
        <w:rPr>
          <w:rFonts w:ascii="Book Antiqua" w:hAnsi="Book Antiqua"/>
          <w:lang w:val="sr-Latn-RS"/>
        </w:rPr>
        <w:t xml:space="preserve"> radi zaštite dece od</w:t>
      </w:r>
      <w:r w:rsidRPr="0010008F">
        <w:rPr>
          <w:rFonts w:ascii="Book Antiqua" w:hAnsi="Book Antiqua"/>
          <w:lang w:val="sr-Latn-RS"/>
        </w:rPr>
        <w:t xml:space="preserve"> zlostavljanja i zanemarivanja su </w:t>
      </w:r>
      <w:r w:rsidRPr="0010008F">
        <w:rPr>
          <w:rFonts w:ascii="Book Antiqua" w:eastAsia="Times New Roman" w:hAnsi="Book Antiqua" w:cs="Times New Roman"/>
          <w:b/>
          <w:lang w:val="en-US"/>
        </w:rPr>
        <w:t>Posebni protokol sistema zdravstvene zaštite za zaštitu dece od zlostavljanja i zanemarivanja</w:t>
      </w:r>
      <w:r w:rsidRPr="0010008F">
        <w:rPr>
          <w:rFonts w:ascii="Book Antiqua" w:eastAsia="Times New Roman" w:hAnsi="Book Antiqua" w:cs="Times New Roman"/>
          <w:lang w:val="en-US"/>
        </w:rPr>
        <w:t>,</w:t>
      </w:r>
      <w:r w:rsidRPr="0010008F">
        <w:rPr>
          <w:rStyle w:val="FootnoteReference"/>
          <w:rFonts w:ascii="Book Antiqua" w:eastAsia="Times New Roman" w:hAnsi="Book Antiqua" w:cs="Times New Roman"/>
          <w:lang w:val="en-US"/>
        </w:rPr>
        <w:footnoteReference w:id="12"/>
      </w:r>
      <w:r w:rsidRPr="0010008F">
        <w:rPr>
          <w:rFonts w:ascii="Book Antiqua" w:eastAsia="Times New Roman" w:hAnsi="Book Antiqua" w:cs="Times New Roman"/>
          <w:lang w:val="en-US"/>
        </w:rPr>
        <w:t xml:space="preserve"> </w:t>
      </w:r>
      <w:r w:rsidRPr="0010008F">
        <w:rPr>
          <w:rFonts w:ascii="Book Antiqua" w:eastAsia="Times New Roman" w:hAnsi="Book Antiqua" w:cs="Times New Roman"/>
          <w:b/>
          <w:lang w:val="en-US"/>
        </w:rPr>
        <w:t>Posebni protokol o postupanju pravosudnih organa u zaštiti maloletnih lica od zlostavljanja i zanemarivanja</w:t>
      </w:r>
      <w:r w:rsidRPr="0010008F">
        <w:rPr>
          <w:rFonts w:ascii="Book Antiqua" w:eastAsia="Times New Roman" w:hAnsi="Book Antiqua" w:cs="Times New Roman"/>
          <w:lang w:val="en-US"/>
        </w:rPr>
        <w:t>,</w:t>
      </w:r>
      <w:r w:rsidRPr="0010008F">
        <w:rPr>
          <w:rStyle w:val="FootnoteReference"/>
          <w:rFonts w:ascii="Book Antiqua" w:eastAsia="Times New Roman" w:hAnsi="Book Antiqua" w:cs="Times New Roman"/>
          <w:lang w:val="en-US"/>
        </w:rPr>
        <w:footnoteReference w:id="13"/>
      </w:r>
      <w:r w:rsidRPr="0010008F">
        <w:rPr>
          <w:rFonts w:ascii="Book Antiqua" w:hAnsi="Book Antiqua"/>
          <w:lang w:val="sr-Latn-RS"/>
        </w:rPr>
        <w:t xml:space="preserve"> </w:t>
      </w:r>
      <w:r w:rsidRPr="0010008F">
        <w:rPr>
          <w:rFonts w:ascii="Book Antiqua" w:eastAsia="Times New Roman" w:hAnsi="Book Antiqua" w:cs="Times New Roman"/>
          <w:b/>
          <w:lang w:val="en-US"/>
        </w:rPr>
        <w:t>Posebni protokol za zaštitu dece od zlostavljanja i zanemarivanja u ustanovama socijalne zaštite,</w:t>
      </w:r>
      <w:r w:rsidRPr="0010008F">
        <w:rPr>
          <w:rStyle w:val="FootnoteReference"/>
          <w:rFonts w:ascii="Book Antiqua" w:eastAsia="Times New Roman" w:hAnsi="Book Antiqua" w:cs="Times New Roman"/>
          <w:b/>
          <w:lang w:val="en-US"/>
        </w:rPr>
        <w:footnoteReference w:id="14"/>
      </w:r>
      <w:r w:rsidRPr="0010008F">
        <w:rPr>
          <w:rFonts w:ascii="Book Antiqua" w:eastAsia="Times New Roman" w:hAnsi="Book Antiqua" w:cs="Times New Roman"/>
          <w:lang w:val="en-US"/>
        </w:rPr>
        <w:t xml:space="preserve"> </w:t>
      </w:r>
      <w:r w:rsidRPr="0010008F">
        <w:rPr>
          <w:rFonts w:ascii="Book Antiqua" w:eastAsia="Times New Roman" w:hAnsi="Book Antiqua" w:cs="Times New Roman"/>
          <w:b/>
          <w:lang w:val="en-US"/>
        </w:rPr>
        <w:t>Posebni protokol o postupanju policijskih službenika u zaštiti maloletnih lica od zlostavljanja i zanemarivanja</w:t>
      </w:r>
      <w:r w:rsidRPr="0010008F">
        <w:rPr>
          <w:rStyle w:val="FootnoteReference"/>
          <w:rFonts w:ascii="Book Antiqua" w:eastAsia="Times New Roman" w:hAnsi="Book Antiqua" w:cs="Times New Roman"/>
          <w:lang w:val="en-US"/>
        </w:rPr>
        <w:footnoteReference w:id="15"/>
      </w:r>
      <w:r w:rsidRPr="0010008F">
        <w:rPr>
          <w:rFonts w:ascii="Book Antiqua" w:eastAsia="Times New Roman" w:hAnsi="Book Antiqua" w:cs="Times New Roman"/>
          <w:lang w:val="en-US"/>
        </w:rPr>
        <w:t xml:space="preserve"> i </w:t>
      </w:r>
      <w:r w:rsidRPr="0010008F">
        <w:rPr>
          <w:rFonts w:ascii="Book Antiqua" w:eastAsia="Times New Roman" w:hAnsi="Book Antiqua" w:cs="Times New Roman"/>
          <w:b/>
          <w:lang w:val="en-US"/>
        </w:rPr>
        <w:t xml:space="preserve">Posebni protokol </w:t>
      </w:r>
      <w:r w:rsidRPr="0010008F">
        <w:rPr>
          <w:rFonts w:ascii="Book Antiqua" w:eastAsia="Times New Roman" w:hAnsi="Book Antiqua" w:cs="Times New Roman"/>
          <w:b/>
          <w:lang w:val="en-US"/>
        </w:rPr>
        <w:lastRenderedPageBreak/>
        <w:t>sistema zdravstvene zaštite za zaštitu dece od zlostavljanja i zanemarivanja.</w:t>
      </w:r>
      <w:r w:rsidRPr="0010008F">
        <w:rPr>
          <w:rStyle w:val="FootnoteReference"/>
          <w:rFonts w:ascii="Book Antiqua" w:eastAsia="Times New Roman" w:hAnsi="Book Antiqua" w:cs="Times New Roman"/>
          <w:b/>
          <w:lang w:val="en-US"/>
        </w:rPr>
        <w:footnoteReference w:id="16"/>
      </w:r>
      <w:r w:rsidRPr="0010008F">
        <w:rPr>
          <w:rFonts w:ascii="Book Antiqua" w:eastAsia="Times New Roman" w:hAnsi="Book Antiqua" w:cs="Times New Roman"/>
          <w:b/>
          <w:lang w:val="en-US"/>
        </w:rPr>
        <w:t xml:space="preserve"> </w:t>
      </w:r>
      <w:r w:rsidRPr="0010008F">
        <w:rPr>
          <w:rFonts w:ascii="Book Antiqua" w:hAnsi="Book Antiqua" w:cs="Times New Roman"/>
          <w:iCs/>
          <w:lang w:val="en-US"/>
        </w:rPr>
        <w:t xml:space="preserve">Posebni </w:t>
      </w:r>
      <w:r>
        <w:rPr>
          <w:rFonts w:ascii="Book Antiqua" w:hAnsi="Book Antiqua" w:cs="Times New Roman"/>
          <w:iCs/>
          <w:lang w:val="en-US"/>
        </w:rPr>
        <w:t xml:space="preserve">protokoli </w:t>
      </w:r>
      <w:r w:rsidRPr="0010008F">
        <w:rPr>
          <w:rFonts w:ascii="Book Antiqua" w:hAnsi="Book Antiqua" w:cs="Times New Roman"/>
          <w:lang w:val="en-US"/>
        </w:rPr>
        <w:t>pružaju okvir za dobre prakse i vode ka unapređenju zaštite prava dece, uvažavajući međunarodne norme i standarde</w:t>
      </w:r>
      <w:r w:rsidRPr="0010008F">
        <w:rPr>
          <w:rFonts w:ascii="Book Antiqua" w:hAnsi="Book Antiqua" w:cs="Times New Roman"/>
          <w:iCs/>
          <w:lang w:val="en-US"/>
        </w:rPr>
        <w:t xml:space="preserve"> i </w:t>
      </w:r>
      <w:r w:rsidRPr="0010008F">
        <w:rPr>
          <w:rFonts w:ascii="Book Antiqua" w:hAnsi="Book Antiqua" w:cs="Times New Roman"/>
          <w:lang w:val="en-US"/>
        </w:rPr>
        <w:t xml:space="preserve">pružaju </w:t>
      </w:r>
      <w:r w:rsidRPr="0010008F">
        <w:rPr>
          <w:rFonts w:ascii="Book Antiqua" w:hAnsi="Book Antiqua" w:cs="Times New Roman"/>
          <w:bCs/>
          <w:lang w:val="en-US"/>
        </w:rPr>
        <w:t>okvir za preventivne aktivnosti</w:t>
      </w:r>
      <w:r w:rsidRPr="0010008F">
        <w:rPr>
          <w:rFonts w:ascii="Book Antiqua" w:hAnsi="Book Antiqua" w:cs="Times New Roman"/>
          <w:lang w:val="en-US"/>
        </w:rPr>
        <w:t>.</w:t>
      </w:r>
    </w:p>
    <w:p w:rsidR="006A5C5B" w:rsidRDefault="006A5C5B">
      <w:pPr>
        <w:rPr>
          <w:rFonts w:ascii="Book Antiqua" w:eastAsiaTheme="majorEastAsia" w:hAnsi="Book Antiqua" w:cstheme="majorBidi"/>
          <w:b/>
          <w:bCs/>
          <w:color w:val="000000" w:themeColor="text1"/>
          <w:sz w:val="24"/>
          <w:szCs w:val="24"/>
          <w:lang w:val="sr-Latn-RS"/>
        </w:rPr>
      </w:pPr>
      <w:r>
        <w:rPr>
          <w:rFonts w:ascii="Book Antiqua" w:hAnsi="Book Antiqua"/>
          <w:color w:val="000000" w:themeColor="text1"/>
          <w:sz w:val="24"/>
          <w:szCs w:val="24"/>
          <w:lang w:val="sr-Latn-RS"/>
        </w:rPr>
        <w:br w:type="page"/>
      </w:r>
    </w:p>
    <w:p w:rsidR="00213355" w:rsidRPr="000C6B39" w:rsidRDefault="000449D0" w:rsidP="000C6B39">
      <w:pPr>
        <w:pStyle w:val="Heading1"/>
        <w:numPr>
          <w:ilvl w:val="0"/>
          <w:numId w:val="4"/>
        </w:numPr>
        <w:jc w:val="center"/>
        <w:rPr>
          <w:rFonts w:ascii="Book Antiqua" w:hAnsi="Book Antiqua"/>
          <w:color w:val="000000" w:themeColor="text1"/>
          <w:sz w:val="24"/>
          <w:szCs w:val="24"/>
          <w:lang w:val="sr-Latn-RS"/>
        </w:rPr>
      </w:pPr>
      <w:r>
        <w:rPr>
          <w:rFonts w:ascii="Book Antiqua" w:hAnsi="Book Antiqua"/>
          <w:color w:val="000000" w:themeColor="text1"/>
          <w:sz w:val="24"/>
          <w:szCs w:val="24"/>
          <w:lang w:val="sr-Latn-RS"/>
        </w:rPr>
        <w:t>KRIVIČNOPRAVNA ZAŠTITA DETETA OD NASILJA, ZLOSTAVLJANJA I ZANEMARIVANJA</w:t>
      </w:r>
    </w:p>
    <w:p w:rsidR="000449D0" w:rsidRDefault="000449D0" w:rsidP="000449D0">
      <w:pPr>
        <w:rPr>
          <w:lang w:val="sr-Latn-RS"/>
        </w:rPr>
      </w:pPr>
    </w:p>
    <w:p w:rsidR="00E74395" w:rsidRDefault="00E74395" w:rsidP="005F09E1">
      <w:pPr>
        <w:jc w:val="both"/>
        <w:rPr>
          <w:rFonts w:ascii="Book Antiqua" w:hAnsi="Book Antiqua"/>
          <w:lang w:val="sr-Latn-RS"/>
        </w:rPr>
      </w:pPr>
      <w:r>
        <w:rPr>
          <w:rFonts w:ascii="Book Antiqua" w:hAnsi="Book Antiqua"/>
          <w:lang w:val="sr-Latn-RS"/>
        </w:rPr>
        <w:t xml:space="preserve">Na globalnom nivou postoji problem </w:t>
      </w:r>
      <w:r w:rsidR="00930B1B">
        <w:rPr>
          <w:rFonts w:ascii="Book Antiqua" w:hAnsi="Book Antiqua"/>
          <w:lang w:val="sr-Latn-RS"/>
        </w:rPr>
        <w:t xml:space="preserve">univerzalnog </w:t>
      </w:r>
      <w:r>
        <w:rPr>
          <w:rFonts w:ascii="Book Antiqua" w:hAnsi="Book Antiqua"/>
          <w:lang w:val="sr-Latn-RS"/>
        </w:rPr>
        <w:t xml:space="preserve">definisanja pojmova koji se tiču različitih vrsta nasilja nad decom. Različite definicije imaju na primer Svetska zdravstvena organizacija i </w:t>
      </w:r>
      <w:r w:rsidR="00F9583D" w:rsidRPr="00F9583D">
        <w:rPr>
          <w:rFonts w:ascii="Book Antiqua" w:hAnsi="Book Antiqua"/>
          <w:lang w:val="sr-Latn-RS"/>
        </w:rPr>
        <w:t xml:space="preserve">Dečiji fond Ujedinjenih nacija </w:t>
      </w:r>
      <w:r>
        <w:rPr>
          <w:rFonts w:ascii="Book Antiqua" w:hAnsi="Book Antiqua"/>
          <w:lang w:val="sr-Latn-RS"/>
        </w:rPr>
        <w:t xml:space="preserve">UNICEF. Iz ovoga proizlazi neujednačena praksa u primeni propisa, kao i u tumačenju značenja pojmova. </w:t>
      </w:r>
      <w:r w:rsidR="00F9583D">
        <w:rPr>
          <w:rFonts w:ascii="Book Antiqua" w:hAnsi="Book Antiqua"/>
          <w:lang w:val="sr-Latn-RS"/>
        </w:rPr>
        <w:t xml:space="preserve">Oko jednog se pak svi slažu, neophodno je zaštititi najbolji interes deteta. </w:t>
      </w:r>
    </w:p>
    <w:p w:rsidR="00E74395" w:rsidRPr="00F9583D" w:rsidRDefault="00E74395" w:rsidP="005F09E1">
      <w:pPr>
        <w:jc w:val="both"/>
        <w:rPr>
          <w:rFonts w:ascii="Book Antiqua" w:hAnsi="Book Antiqua"/>
          <w:lang w:val="sr-Latn-RS"/>
        </w:rPr>
      </w:pPr>
      <w:r w:rsidRPr="00F9583D">
        <w:rPr>
          <w:rFonts w:ascii="Book Antiqua" w:hAnsi="Book Antiqua"/>
          <w:lang w:val="sr-Latn-RS"/>
        </w:rPr>
        <w:t xml:space="preserve">Svetska zdravstvena organizacija definiše </w:t>
      </w:r>
      <w:r w:rsidR="00F9583D" w:rsidRPr="00F9583D">
        <w:rPr>
          <w:rFonts w:ascii="Book Antiqua" w:hAnsi="Book Antiqua"/>
          <w:lang w:val="sr-Latn-RS"/>
        </w:rPr>
        <w:t>z</w:t>
      </w:r>
      <w:r w:rsidRPr="00F9583D">
        <w:rPr>
          <w:rFonts w:ascii="Book Antiqua" w:hAnsi="Book Antiqua"/>
          <w:lang w:val="sr-Latn-RS"/>
        </w:rPr>
        <w:t>loupotreb</w:t>
      </w:r>
      <w:r w:rsidR="00F9583D" w:rsidRPr="00F9583D">
        <w:rPr>
          <w:rFonts w:ascii="Book Antiqua" w:hAnsi="Book Antiqua"/>
          <w:lang w:val="sr-Latn-RS"/>
        </w:rPr>
        <w:t>u</w:t>
      </w:r>
      <w:r w:rsidRPr="00F9583D">
        <w:rPr>
          <w:rFonts w:ascii="Book Antiqua" w:hAnsi="Book Antiqua"/>
          <w:lang w:val="sr-Latn-RS"/>
        </w:rPr>
        <w:t xml:space="preserve"> ili zlostavljanje deteta </w:t>
      </w:r>
      <w:r w:rsidR="00F9583D" w:rsidRPr="00F9583D">
        <w:rPr>
          <w:rFonts w:ascii="Book Antiqua" w:hAnsi="Book Antiqua"/>
          <w:lang w:val="sr-Latn-RS"/>
        </w:rPr>
        <w:t>kao</w:t>
      </w:r>
      <w:r w:rsidRPr="00F9583D">
        <w:rPr>
          <w:rFonts w:ascii="Book Antiqua" w:hAnsi="Book Antiqua"/>
          <w:lang w:val="sr-Latn-RS"/>
        </w:rPr>
        <w:t xml:space="preserve"> sve oblike fizičkog i/ili emocionalnog zlostavljanja, seksualnu zloupotrebu, zanemarivanje ili nemaran postupak, kao i komercijalnu ili drugu eksploataciju, što dovodi do stvarnog ili potencijalnog narušavanja zdravlja deteta, njegovog preživljavanja, razvoja ili dostojanstva u okviru odnosa koji uključuje odgovornost, poverenje ili moć</w:t>
      </w:r>
      <w:r w:rsidR="00F9583D" w:rsidRPr="00F9583D">
        <w:rPr>
          <w:rFonts w:ascii="Book Antiqua" w:hAnsi="Book Antiqua"/>
          <w:lang w:val="sr-Latn-RS"/>
        </w:rPr>
        <w:t xml:space="preserve">. </w:t>
      </w:r>
    </w:p>
    <w:p w:rsidR="00257234" w:rsidRDefault="00567FA1" w:rsidP="005F09E1">
      <w:pPr>
        <w:jc w:val="both"/>
        <w:rPr>
          <w:rFonts w:ascii="Book Antiqua" w:hAnsi="Book Antiqua"/>
          <w:lang w:val="sr-Latn-RS"/>
        </w:rPr>
      </w:pPr>
      <w:r w:rsidRPr="00F9583D">
        <w:rPr>
          <w:rFonts w:ascii="Book Antiqua" w:hAnsi="Book Antiqua"/>
          <w:lang w:val="sr-Latn-RS"/>
        </w:rPr>
        <w:t xml:space="preserve">UNICEF </w:t>
      </w:r>
      <w:r w:rsidR="00F9583D" w:rsidRPr="00F9583D">
        <w:rPr>
          <w:rFonts w:ascii="Book Antiqua" w:hAnsi="Book Antiqua"/>
          <w:lang w:val="sr-Latn-RS"/>
        </w:rPr>
        <w:t>proklamuje da s</w:t>
      </w:r>
      <w:r w:rsidR="00DB5D10" w:rsidRPr="00F9583D">
        <w:rPr>
          <w:rFonts w:ascii="Book Antiqua" w:hAnsi="Book Antiqua"/>
          <w:lang w:val="sr-Latn-RS"/>
        </w:rPr>
        <w:t xml:space="preserve">va deca imaju pravo na zaštitu od nasilja, </w:t>
      </w:r>
      <w:r w:rsidR="00F9583D" w:rsidRPr="00F9583D">
        <w:rPr>
          <w:rFonts w:ascii="Book Antiqua" w:hAnsi="Book Antiqua"/>
          <w:lang w:val="sr-Latn-RS"/>
        </w:rPr>
        <w:t xml:space="preserve">eksplotacije i zlostavljanja. </w:t>
      </w:r>
    </w:p>
    <w:p w:rsidR="002D1852" w:rsidRDefault="002D1852" w:rsidP="005F09E1">
      <w:pPr>
        <w:jc w:val="both"/>
        <w:rPr>
          <w:rFonts w:ascii="Book Antiqua" w:hAnsi="Book Antiqua"/>
          <w:lang w:val="sr-Latn-RS"/>
        </w:rPr>
      </w:pPr>
      <w:r w:rsidRPr="00930B1B">
        <w:rPr>
          <w:rFonts w:ascii="Book Antiqua" w:hAnsi="Book Antiqua"/>
          <w:b/>
          <w:lang w:val="sr-Latn-RS"/>
        </w:rPr>
        <w:t>Krivičnim zakonikom</w:t>
      </w:r>
      <w:r>
        <w:rPr>
          <w:rFonts w:ascii="Book Antiqua" w:hAnsi="Book Antiqua"/>
          <w:lang w:val="sr-Latn-RS"/>
        </w:rPr>
        <w:t xml:space="preserve"> je definisano šta se ima smatrati detetom, tako što razlikuje mlađe i starije maloletnike: d</w:t>
      </w:r>
      <w:r w:rsidRPr="002D1852">
        <w:rPr>
          <w:rFonts w:ascii="Book Antiqua" w:hAnsi="Book Antiqua"/>
          <w:lang w:val="sr-Latn-RS"/>
        </w:rPr>
        <w:t>et</w:t>
      </w:r>
      <w:r>
        <w:rPr>
          <w:rFonts w:ascii="Book Antiqua" w:hAnsi="Book Antiqua"/>
          <w:lang w:val="sr-Latn-RS"/>
        </w:rPr>
        <w:t>e je</w:t>
      </w:r>
      <w:r w:rsidRPr="002D1852">
        <w:rPr>
          <w:rFonts w:ascii="Book Antiqua" w:hAnsi="Book Antiqua"/>
          <w:lang w:val="sr-Latn-RS"/>
        </w:rPr>
        <w:t xml:space="preserve"> lice koje nije navršilo četrnaest godina</w:t>
      </w:r>
      <w:r>
        <w:rPr>
          <w:rFonts w:ascii="Book Antiqua" w:hAnsi="Book Antiqua"/>
          <w:lang w:val="sr-Latn-RS"/>
        </w:rPr>
        <w:t>, dok je</w:t>
      </w:r>
      <w:r w:rsidRPr="002D1852">
        <w:rPr>
          <w:rFonts w:ascii="Book Antiqua" w:hAnsi="Book Antiqua"/>
          <w:lang w:val="sr-Latn-RS"/>
        </w:rPr>
        <w:t xml:space="preserve"> </w:t>
      </w:r>
      <w:r>
        <w:rPr>
          <w:rFonts w:ascii="Book Antiqua" w:hAnsi="Book Antiqua"/>
          <w:lang w:val="sr-Latn-RS"/>
        </w:rPr>
        <w:t>maloletnik</w:t>
      </w:r>
      <w:r w:rsidRPr="002D1852">
        <w:rPr>
          <w:rFonts w:ascii="Book Antiqua" w:hAnsi="Book Antiqua"/>
          <w:lang w:val="sr-Latn-RS"/>
        </w:rPr>
        <w:t xml:space="preserve"> lice koje je navršilo četrnaest godina, a nije navršilo osamnaest godina</w:t>
      </w:r>
      <w:r w:rsidR="00930B1B">
        <w:rPr>
          <w:rFonts w:ascii="Book Antiqua" w:hAnsi="Book Antiqua"/>
          <w:lang w:val="sr-Latn-RS"/>
        </w:rPr>
        <w:t>, dok lice mlađe od osamnaest godina je maloletno lice</w:t>
      </w:r>
      <w:r w:rsidRPr="002D1852">
        <w:rPr>
          <w:rFonts w:ascii="Book Antiqua" w:hAnsi="Book Antiqua"/>
          <w:lang w:val="sr-Latn-RS"/>
        </w:rPr>
        <w:t>.</w:t>
      </w:r>
      <w:r>
        <w:rPr>
          <w:rStyle w:val="FootnoteReference"/>
          <w:rFonts w:ascii="Book Antiqua" w:hAnsi="Book Antiqua"/>
          <w:lang w:val="sr-Latn-RS"/>
        </w:rPr>
        <w:footnoteReference w:id="17"/>
      </w:r>
      <w:r w:rsidR="0055125F">
        <w:rPr>
          <w:rFonts w:ascii="Book Antiqua" w:hAnsi="Book Antiqua"/>
          <w:lang w:val="sr-Latn-RS"/>
        </w:rPr>
        <w:t xml:space="preserve"> </w:t>
      </w:r>
    </w:p>
    <w:p w:rsidR="006755F7" w:rsidRDefault="002D1852" w:rsidP="005F09E1">
      <w:pPr>
        <w:jc w:val="both"/>
        <w:rPr>
          <w:rFonts w:ascii="Book Antiqua" w:hAnsi="Book Antiqua"/>
          <w:lang w:val="sr-Latn-RS"/>
        </w:rPr>
      </w:pPr>
      <w:r>
        <w:rPr>
          <w:rFonts w:ascii="Book Antiqua" w:hAnsi="Book Antiqua"/>
          <w:lang w:val="sr-Latn-RS"/>
        </w:rPr>
        <w:t xml:space="preserve">Ovim zakonikom </w:t>
      </w:r>
      <w:r w:rsidRPr="007D3A01">
        <w:rPr>
          <w:rFonts w:ascii="Book Antiqua" w:hAnsi="Book Antiqua"/>
          <w:b/>
          <w:lang w:val="sr-Latn-RS"/>
        </w:rPr>
        <w:t xml:space="preserve">nasilje u porodici </w:t>
      </w:r>
      <w:r>
        <w:rPr>
          <w:rFonts w:ascii="Book Antiqua" w:hAnsi="Book Antiqua"/>
          <w:lang w:val="sr-Latn-RS"/>
        </w:rPr>
        <w:t xml:space="preserve">je definisano </w:t>
      </w:r>
      <w:r w:rsidRPr="00DB5D10">
        <w:rPr>
          <w:rFonts w:ascii="Book Antiqua" w:hAnsi="Book Antiqua"/>
          <w:lang w:val="sr-Latn-RS"/>
        </w:rPr>
        <w:t>kao primena nasilja, pretnje da će napasti na život ili telo, drsko ili bezobzirno ponašanje kojim se ugrožava spokojstvo, telesni integritet ili duševno stanje člana porodice.</w:t>
      </w:r>
      <w:r w:rsidRPr="00DB5D10">
        <w:rPr>
          <w:rStyle w:val="FootnoteReference"/>
          <w:rFonts w:ascii="Book Antiqua" w:hAnsi="Book Antiqua"/>
          <w:lang w:val="sr-Latn-RS"/>
        </w:rPr>
        <w:footnoteReference w:id="18"/>
      </w:r>
      <w:r w:rsidRPr="00DB5D10">
        <w:rPr>
          <w:rFonts w:ascii="Book Antiqua" w:hAnsi="Book Antiqua"/>
          <w:lang w:val="sr-Latn-RS"/>
        </w:rPr>
        <w:t xml:space="preserve"> Dodatno, predviđena</w:t>
      </w:r>
      <w:r>
        <w:rPr>
          <w:rFonts w:ascii="Book Antiqua" w:hAnsi="Book Antiqua"/>
          <w:lang w:val="sr-Latn-RS"/>
        </w:rPr>
        <w:t xml:space="preserve"> je i </w:t>
      </w:r>
      <w:r w:rsidRPr="007D3A01">
        <w:rPr>
          <w:rFonts w:ascii="Book Antiqua" w:hAnsi="Book Antiqua"/>
          <w:b/>
          <w:lang w:val="sr-Latn-RS"/>
        </w:rPr>
        <w:t>krivična sankcija za onoga ko prekrši mere zaštite od nasilja u porodici</w:t>
      </w:r>
      <w:r>
        <w:rPr>
          <w:rFonts w:ascii="Book Antiqua" w:hAnsi="Book Antiqua"/>
          <w:lang w:val="sr-Latn-RS"/>
        </w:rPr>
        <w:t xml:space="preserve"> donete od strane suda.</w:t>
      </w:r>
      <w:r>
        <w:rPr>
          <w:rStyle w:val="FootnoteReference"/>
          <w:rFonts w:ascii="Book Antiqua" w:hAnsi="Book Antiqua"/>
          <w:lang w:val="sr-Latn-RS"/>
        </w:rPr>
        <w:footnoteReference w:id="19"/>
      </w:r>
      <w:r>
        <w:rPr>
          <w:rFonts w:ascii="Book Antiqua" w:hAnsi="Book Antiqua"/>
          <w:lang w:val="sr-Latn-RS"/>
        </w:rPr>
        <w:t xml:space="preserve"> </w:t>
      </w:r>
    </w:p>
    <w:p w:rsidR="001915EF" w:rsidRDefault="001915EF" w:rsidP="001915EF">
      <w:pPr>
        <w:jc w:val="both"/>
        <w:rPr>
          <w:rFonts w:ascii="Book Antiqua" w:hAnsi="Book Antiqua"/>
          <w:lang w:val="sr-Latn-RS"/>
        </w:rPr>
      </w:pPr>
      <w:r w:rsidRPr="007D3A01">
        <w:rPr>
          <w:rFonts w:ascii="Book Antiqua" w:hAnsi="Book Antiqua"/>
          <w:b/>
          <w:lang w:val="sr-Latn-RS"/>
        </w:rPr>
        <w:t>Krivično delo zlostavljanja maloletnog lica</w:t>
      </w:r>
      <w:r w:rsidRPr="00DB5D10">
        <w:rPr>
          <w:rFonts w:ascii="Book Antiqua" w:hAnsi="Book Antiqua"/>
          <w:lang w:val="sr-Latn-RS"/>
        </w:rPr>
        <w:t xml:space="preserve"> može izvršiti roditelj, usvojilac, staralac ili drugo lice ukoliko izvrši r</w:t>
      </w:r>
      <w:r w:rsidR="00D44C18" w:rsidRPr="00DB5D10">
        <w:rPr>
          <w:rFonts w:ascii="Book Antiqua" w:hAnsi="Book Antiqua"/>
          <w:lang w:val="sr-Latn-RS"/>
        </w:rPr>
        <w:t>a</w:t>
      </w:r>
      <w:r w:rsidRPr="00DB5D10">
        <w:rPr>
          <w:rFonts w:ascii="Book Antiqua" w:hAnsi="Book Antiqua"/>
          <w:lang w:val="sr-Latn-RS"/>
        </w:rPr>
        <w:t>dnje kojima zlostavlja maloletno lice ili ga prinuđava na preteran rad ili rad koji ne odgovara uzrastu maloletnog lica ili na prosjačenje ili ga iz koristoljublja navodi na vršenje drugih radnji koje su štetne za njegov razvoj.</w:t>
      </w:r>
      <w:r w:rsidRPr="00DB5D10">
        <w:rPr>
          <w:rStyle w:val="FootnoteReference"/>
          <w:rFonts w:ascii="Book Antiqua" w:hAnsi="Book Antiqua"/>
          <w:lang w:val="sr-Latn-RS"/>
        </w:rPr>
        <w:footnoteReference w:id="20"/>
      </w:r>
    </w:p>
    <w:p w:rsidR="001915EF" w:rsidRDefault="001915EF" w:rsidP="005F09E1">
      <w:pPr>
        <w:jc w:val="both"/>
        <w:rPr>
          <w:rFonts w:ascii="Book Antiqua" w:hAnsi="Book Antiqua"/>
          <w:lang w:val="sr-Latn-RS"/>
        </w:rPr>
      </w:pPr>
      <w:r w:rsidRPr="007D3A01">
        <w:rPr>
          <w:rFonts w:ascii="Book Antiqua" w:hAnsi="Book Antiqua"/>
          <w:b/>
          <w:lang w:val="sr-Latn-RS"/>
        </w:rPr>
        <w:t>Krivično delo z</w:t>
      </w:r>
      <w:r w:rsidR="002D1852" w:rsidRPr="007D3A01">
        <w:rPr>
          <w:rFonts w:ascii="Book Antiqua" w:hAnsi="Book Antiqua"/>
          <w:b/>
          <w:lang w:val="sr-Latn-RS"/>
        </w:rPr>
        <w:t>apuštanj</w:t>
      </w:r>
      <w:r w:rsidRPr="007D3A01">
        <w:rPr>
          <w:rFonts w:ascii="Book Antiqua" w:hAnsi="Book Antiqua"/>
          <w:b/>
          <w:lang w:val="sr-Latn-RS"/>
        </w:rPr>
        <w:t>a</w:t>
      </w:r>
      <w:r w:rsidR="002D1852" w:rsidRPr="007D3A01">
        <w:rPr>
          <w:rFonts w:ascii="Book Antiqua" w:hAnsi="Book Antiqua"/>
          <w:b/>
          <w:lang w:val="sr-Latn-RS"/>
        </w:rPr>
        <w:t xml:space="preserve"> maloletnog lica</w:t>
      </w:r>
      <w:r>
        <w:rPr>
          <w:rFonts w:ascii="Book Antiqua" w:hAnsi="Book Antiqua"/>
          <w:lang w:val="sr-Latn-RS"/>
        </w:rPr>
        <w:t xml:space="preserve"> može izvršiti roditelj</w:t>
      </w:r>
      <w:r w:rsidR="002D1852" w:rsidRPr="002D1852">
        <w:rPr>
          <w:rFonts w:ascii="Book Antiqua" w:hAnsi="Book Antiqua"/>
          <w:lang w:val="sr-Latn-RS"/>
        </w:rPr>
        <w:t xml:space="preserve">, usvojilac, staralac ili drugo lice </w:t>
      </w:r>
      <w:r w:rsidRPr="00DB5D10">
        <w:rPr>
          <w:rFonts w:ascii="Book Antiqua" w:hAnsi="Book Antiqua"/>
          <w:lang w:val="sr-Latn-RS"/>
        </w:rPr>
        <w:t xml:space="preserve">tako što </w:t>
      </w:r>
      <w:r w:rsidR="002D1852" w:rsidRPr="00DB5D10">
        <w:rPr>
          <w:rFonts w:ascii="Book Antiqua" w:hAnsi="Book Antiqua"/>
          <w:lang w:val="sr-Latn-RS"/>
        </w:rPr>
        <w:t>grubim zanemarivanjem svoje dužnosti zbrinjavanja i vaspitavanja zapusti</w:t>
      </w:r>
      <w:r w:rsidR="002D1852" w:rsidRPr="002D1852">
        <w:rPr>
          <w:rFonts w:ascii="Book Antiqua" w:hAnsi="Book Antiqua"/>
          <w:lang w:val="sr-Latn-RS"/>
        </w:rPr>
        <w:t xml:space="preserve"> maloletno lice o kojem je dužno da se stara</w:t>
      </w:r>
      <w:r>
        <w:rPr>
          <w:rFonts w:ascii="Book Antiqua" w:hAnsi="Book Antiqua"/>
          <w:lang w:val="sr-Latn-RS"/>
        </w:rPr>
        <w:t>.</w:t>
      </w:r>
      <w:r>
        <w:rPr>
          <w:rStyle w:val="FootnoteReference"/>
          <w:rFonts w:ascii="Book Antiqua" w:hAnsi="Book Antiqua"/>
          <w:lang w:val="sr-Latn-RS"/>
        </w:rPr>
        <w:footnoteReference w:id="21"/>
      </w:r>
    </w:p>
    <w:p w:rsidR="002E38AC" w:rsidRDefault="002E38AC" w:rsidP="005F09E1">
      <w:pPr>
        <w:jc w:val="both"/>
        <w:rPr>
          <w:rFonts w:ascii="Book Antiqua" w:hAnsi="Book Antiqua"/>
          <w:lang w:val="sr-Latn-RS"/>
        </w:rPr>
      </w:pPr>
      <w:r w:rsidRPr="00C17317">
        <w:rPr>
          <w:rFonts w:ascii="Book Antiqua" w:hAnsi="Book Antiqua"/>
          <w:lang w:val="sr-Latn-RS"/>
        </w:rPr>
        <w:t>Zakonom o posebnim merama za sprečavanje vršenja krivičnih dela protiv polne slobode prema maloletnim licima</w:t>
      </w:r>
      <w:r>
        <w:rPr>
          <w:rFonts w:ascii="Book Antiqua" w:hAnsi="Book Antiqua"/>
          <w:lang w:val="sr-Latn-RS"/>
        </w:rPr>
        <w:t xml:space="preserve"> (tzv. </w:t>
      </w:r>
      <w:r w:rsidRPr="00C17317">
        <w:rPr>
          <w:rFonts w:ascii="Book Antiqua" w:hAnsi="Book Antiqua"/>
          <w:b/>
          <w:lang w:val="sr-Latn-RS"/>
        </w:rPr>
        <w:t>Marijin zakon</w:t>
      </w:r>
      <w:r>
        <w:rPr>
          <w:rFonts w:ascii="Book Antiqua" w:hAnsi="Book Antiqua"/>
          <w:lang w:val="sr-Latn-RS"/>
        </w:rPr>
        <w:t xml:space="preserve">), previđeno je da </w:t>
      </w:r>
      <w:r w:rsidRPr="0021689D">
        <w:rPr>
          <w:rFonts w:ascii="Book Antiqua" w:hAnsi="Book Antiqua"/>
          <w:b/>
          <w:lang w:val="sr-Latn-RS"/>
        </w:rPr>
        <w:t>krivično gonjenje i izvršenje kazne ne zastarevaju za krivična dela protiv polne slobode prema maloletnim licima</w:t>
      </w:r>
      <w:r>
        <w:rPr>
          <w:rFonts w:ascii="Book Antiqua" w:hAnsi="Book Antiqua"/>
          <w:lang w:val="sr-Latn-RS"/>
        </w:rPr>
        <w:t xml:space="preserve">, konkretno za krivična dela </w:t>
      </w:r>
      <w:r w:rsidRPr="002E38AC">
        <w:rPr>
          <w:rFonts w:ascii="Book Antiqua" w:hAnsi="Book Antiqua"/>
          <w:lang w:val="sr-Latn-RS"/>
        </w:rPr>
        <w:t>silovanje</w:t>
      </w:r>
      <w:r>
        <w:rPr>
          <w:rFonts w:ascii="Book Antiqua" w:hAnsi="Book Antiqua"/>
          <w:lang w:val="sr-Latn-RS"/>
        </w:rPr>
        <w:t xml:space="preserve">; </w:t>
      </w:r>
      <w:r w:rsidRPr="002E38AC">
        <w:rPr>
          <w:rFonts w:ascii="Book Antiqua" w:hAnsi="Book Antiqua"/>
          <w:lang w:val="sr-Latn-RS"/>
        </w:rPr>
        <w:t>obljuba nad nemoćnim licem</w:t>
      </w:r>
      <w:r>
        <w:rPr>
          <w:rFonts w:ascii="Book Antiqua" w:hAnsi="Book Antiqua"/>
          <w:lang w:val="sr-Latn-RS"/>
        </w:rPr>
        <w:t>;</w:t>
      </w:r>
      <w:r w:rsidRPr="002E38AC">
        <w:rPr>
          <w:rFonts w:ascii="Book Antiqua" w:hAnsi="Book Antiqua"/>
          <w:lang w:val="sr-Latn-RS"/>
        </w:rPr>
        <w:t xml:space="preserve"> obljuba sa detetom</w:t>
      </w:r>
      <w:r>
        <w:rPr>
          <w:rFonts w:ascii="Book Antiqua" w:hAnsi="Book Antiqua"/>
          <w:lang w:val="sr-Latn-RS"/>
        </w:rPr>
        <w:t>;</w:t>
      </w:r>
      <w:r w:rsidRPr="002E38AC">
        <w:rPr>
          <w:rFonts w:ascii="Book Antiqua" w:hAnsi="Book Antiqua"/>
          <w:lang w:val="sr-Latn-RS"/>
        </w:rPr>
        <w:t xml:space="preserve"> obljuba zloupotrebom položaja</w:t>
      </w:r>
      <w:r>
        <w:rPr>
          <w:rFonts w:ascii="Book Antiqua" w:hAnsi="Book Antiqua"/>
          <w:lang w:val="sr-Latn-RS"/>
        </w:rPr>
        <w:t>;</w:t>
      </w:r>
      <w:r w:rsidRPr="002E38AC">
        <w:rPr>
          <w:rFonts w:ascii="Book Antiqua" w:hAnsi="Book Antiqua"/>
          <w:lang w:val="sr-Latn-RS"/>
        </w:rPr>
        <w:t xml:space="preserve"> nedozvoljene polne radnje</w:t>
      </w:r>
      <w:r>
        <w:rPr>
          <w:rFonts w:ascii="Book Antiqua" w:hAnsi="Book Antiqua"/>
          <w:lang w:val="sr-Latn-RS"/>
        </w:rPr>
        <w:t>;</w:t>
      </w:r>
      <w:r w:rsidRPr="002E38AC">
        <w:rPr>
          <w:rFonts w:ascii="Book Antiqua" w:hAnsi="Book Antiqua"/>
          <w:lang w:val="sr-Latn-RS"/>
        </w:rPr>
        <w:t xml:space="preserve"> podvođenje i omogućavanje vršenja polnog odnosa</w:t>
      </w:r>
      <w:r>
        <w:rPr>
          <w:rFonts w:ascii="Book Antiqua" w:hAnsi="Book Antiqua"/>
          <w:lang w:val="sr-Latn-RS"/>
        </w:rPr>
        <w:t>;</w:t>
      </w:r>
      <w:r w:rsidRPr="002E38AC">
        <w:rPr>
          <w:rFonts w:ascii="Book Antiqua" w:hAnsi="Book Antiqua"/>
          <w:lang w:val="sr-Latn-RS"/>
        </w:rPr>
        <w:t xml:space="preserve"> posredovanje u vršenju prostitucije</w:t>
      </w:r>
      <w:r>
        <w:rPr>
          <w:rFonts w:ascii="Book Antiqua" w:hAnsi="Book Antiqua"/>
          <w:lang w:val="sr-Latn-RS"/>
        </w:rPr>
        <w:t>;</w:t>
      </w:r>
      <w:r w:rsidRPr="002E38AC">
        <w:rPr>
          <w:rFonts w:ascii="Book Antiqua" w:hAnsi="Book Antiqua"/>
          <w:lang w:val="sr-Latn-RS"/>
        </w:rPr>
        <w:t xml:space="preserve"> prikazivanje, pribavljanje i posedovanje pornografskog materijala i iskorišćavanje maloletnog lica za pornografiju; navođenje maloletnog lica na prisustvovanje polnim radnjama; iskorišćavanje računarske mreže ili komunikacije drugim tehničkim sredstvima za izvršenje krivičnih dela protiv polne slobode prema maloletnom licu</w:t>
      </w:r>
      <w:r>
        <w:rPr>
          <w:rFonts w:ascii="Book Antiqua" w:hAnsi="Book Antiqua"/>
          <w:lang w:val="sr-Latn-RS"/>
        </w:rPr>
        <w:t>.</w:t>
      </w:r>
      <w:r>
        <w:rPr>
          <w:rStyle w:val="FootnoteReference"/>
          <w:rFonts w:ascii="Book Antiqua" w:hAnsi="Book Antiqua"/>
          <w:lang w:val="sr-Latn-RS"/>
        </w:rPr>
        <w:footnoteReference w:id="22"/>
      </w:r>
      <w:r>
        <w:rPr>
          <w:rFonts w:ascii="Book Antiqua" w:hAnsi="Book Antiqua"/>
          <w:lang w:val="sr-Latn-RS"/>
        </w:rPr>
        <w:t xml:space="preserve"> </w:t>
      </w:r>
    </w:p>
    <w:p w:rsidR="00F850C3" w:rsidRDefault="00F850C3" w:rsidP="005F09E1">
      <w:pPr>
        <w:jc w:val="both"/>
        <w:rPr>
          <w:rFonts w:ascii="Book Antiqua" w:hAnsi="Book Antiqua"/>
          <w:lang w:val="sr-Latn-RS"/>
        </w:rPr>
      </w:pPr>
      <w:r w:rsidRPr="00CF0FFE">
        <w:rPr>
          <w:rFonts w:ascii="Book Antiqua" w:hAnsi="Book Antiqua"/>
          <w:lang w:val="sr-Latn-RS"/>
        </w:rPr>
        <w:t>U odnosu na pitanje</w:t>
      </w:r>
      <w:r w:rsidR="00A2585B">
        <w:rPr>
          <w:rFonts w:ascii="Book Antiqua" w:hAnsi="Book Antiqua"/>
          <w:lang w:val="sr-Latn-RS"/>
        </w:rPr>
        <w:t xml:space="preserve"> zaštite najboljeg interesa dete</w:t>
      </w:r>
      <w:r w:rsidRPr="00CF0FFE">
        <w:rPr>
          <w:rFonts w:ascii="Book Antiqua" w:hAnsi="Book Antiqua"/>
          <w:lang w:val="sr-Latn-RS"/>
        </w:rPr>
        <w:t xml:space="preserve">ta u </w:t>
      </w:r>
      <w:r w:rsidR="005765D0">
        <w:rPr>
          <w:rFonts w:ascii="Book Antiqua" w:hAnsi="Book Antiqua"/>
          <w:lang w:val="sr-Latn-RS"/>
        </w:rPr>
        <w:t>krivičnim postupcima, značajno</w:t>
      </w:r>
      <w:r w:rsidRPr="00CF0FFE">
        <w:rPr>
          <w:rFonts w:ascii="Book Antiqua" w:hAnsi="Book Antiqua"/>
          <w:lang w:val="sr-Latn-RS"/>
        </w:rPr>
        <w:t xml:space="preserve"> je istraživanje Centra za prava deteta iz 2015.godine, čiji su rezultati ukazali na to da se sud kao i ostali organi koji postupaju u krivičnom postupku vrlo retko pozivaju na princip najboljeg interesa deteta. Istraživanje je zasnovano na podacima dobijenim putem anonimnih anketa popunjenih od strane sudija i tužilaca Osnovnih sudova i Višeg suda u Beogradu, a iz obrađenih predmeta se nije moglo zaključiti da li je sud tokom postupka uopšte uzimao u obzir najbolji interes deteta. Istraživanje je pokazalo da </w:t>
      </w:r>
      <w:r w:rsidR="00190997" w:rsidRPr="00CF0FFE">
        <w:rPr>
          <w:rFonts w:ascii="Book Antiqua" w:hAnsi="Book Antiqua"/>
          <w:lang w:val="sr-Latn-RS"/>
        </w:rPr>
        <w:t xml:space="preserve">se </w:t>
      </w:r>
      <w:r w:rsidRPr="00CF0FFE">
        <w:rPr>
          <w:rFonts w:ascii="Book Antiqua" w:hAnsi="Book Antiqua"/>
          <w:lang w:val="sr-Latn-RS"/>
        </w:rPr>
        <w:t xml:space="preserve">u određenom broju slučajeva </w:t>
      </w:r>
      <w:r w:rsidR="00DA6BF1">
        <w:rPr>
          <w:rFonts w:ascii="Book Antiqua" w:hAnsi="Book Antiqua"/>
          <w:lang w:val="sr-Latn-RS"/>
        </w:rPr>
        <w:t xml:space="preserve">ostali </w:t>
      </w:r>
      <w:r w:rsidR="002D5A4E">
        <w:rPr>
          <w:rFonts w:ascii="Book Antiqua" w:hAnsi="Book Antiqua"/>
          <w:lang w:val="sr-Latn-RS"/>
        </w:rPr>
        <w:t>učesnici u postupku (Centri za s</w:t>
      </w:r>
      <w:r w:rsidR="00942103">
        <w:rPr>
          <w:rFonts w:ascii="Book Antiqua" w:hAnsi="Book Antiqua"/>
          <w:lang w:val="sr-Latn-RS"/>
        </w:rPr>
        <w:t>ocijalni rad, veštaci i sl.)</w:t>
      </w:r>
      <w:r w:rsidR="002D5A4E">
        <w:rPr>
          <w:rFonts w:ascii="Book Antiqua" w:hAnsi="Book Antiqua"/>
          <w:lang w:val="sr-Latn-RS"/>
        </w:rPr>
        <w:t xml:space="preserve"> </w:t>
      </w:r>
      <w:r w:rsidR="00190997" w:rsidRPr="00CF0FFE">
        <w:rPr>
          <w:rFonts w:ascii="Book Antiqua" w:hAnsi="Book Antiqua"/>
          <w:lang w:val="sr-Latn-RS"/>
        </w:rPr>
        <w:t>pozivaju na</w:t>
      </w:r>
      <w:r w:rsidR="002D5A4E">
        <w:rPr>
          <w:rFonts w:ascii="Book Antiqua" w:hAnsi="Book Antiqua"/>
          <w:lang w:val="sr-Latn-RS"/>
        </w:rPr>
        <w:t xml:space="preserve"> zaštitu najboljeg interesa dete</w:t>
      </w:r>
      <w:r w:rsidR="00190997" w:rsidRPr="00CF0FFE">
        <w:rPr>
          <w:rFonts w:ascii="Book Antiqua" w:hAnsi="Book Antiqua"/>
          <w:lang w:val="sr-Latn-RS"/>
        </w:rPr>
        <w:t>ta u cilju sprečavanja sekundarne viktimizacije i dodatne traumatizacije maloletnih lica</w:t>
      </w:r>
      <w:r w:rsidR="00703B1D" w:rsidRPr="00CF0FFE">
        <w:rPr>
          <w:rFonts w:ascii="Book Antiqua" w:hAnsi="Book Antiqua"/>
          <w:lang w:val="sr-Latn-RS"/>
        </w:rPr>
        <w:t xml:space="preserve"> (i to samo prilikom saslušanja deteta ili davanja iskaza u krivičnom postupku)</w:t>
      </w:r>
      <w:r w:rsidR="00190997" w:rsidRPr="00CF0FFE">
        <w:rPr>
          <w:rFonts w:ascii="Book Antiqua" w:hAnsi="Book Antiqua"/>
          <w:lang w:val="sr-Latn-RS"/>
        </w:rPr>
        <w:t>, a ne u cilju primarne zaštite najboljeg interesa deteta u konkretnom postupku.</w:t>
      </w:r>
      <w:r w:rsidR="00190997" w:rsidRPr="00CF0FFE">
        <w:rPr>
          <w:rStyle w:val="FootnoteReference"/>
          <w:rFonts w:ascii="Book Antiqua" w:hAnsi="Book Antiqua"/>
          <w:lang w:val="sr-Latn-RS"/>
        </w:rPr>
        <w:footnoteReference w:id="23"/>
      </w:r>
      <w:r w:rsidR="00190997">
        <w:rPr>
          <w:rFonts w:ascii="Book Antiqua" w:hAnsi="Book Antiqua"/>
          <w:lang w:val="sr-Latn-RS"/>
        </w:rPr>
        <w:t xml:space="preserve">  </w:t>
      </w:r>
      <w:r>
        <w:rPr>
          <w:rFonts w:ascii="Book Antiqua" w:hAnsi="Book Antiqua"/>
          <w:lang w:val="sr-Latn-RS"/>
        </w:rPr>
        <w:t xml:space="preserve">   </w:t>
      </w:r>
    </w:p>
    <w:p w:rsidR="00CE2F17" w:rsidRDefault="00D81FDA" w:rsidP="005F09E1">
      <w:pPr>
        <w:jc w:val="both"/>
        <w:rPr>
          <w:rFonts w:ascii="Book Antiqua" w:hAnsi="Book Antiqua"/>
          <w:lang w:val="sr-Latn-RS"/>
        </w:rPr>
      </w:pPr>
      <w:r>
        <w:rPr>
          <w:rFonts w:ascii="Book Antiqua" w:hAnsi="Book Antiqua"/>
          <w:lang w:val="sr-Latn-RS"/>
        </w:rPr>
        <w:t>Dalje, kada govorimo o krivičnopravnoj zaštiti,</w:t>
      </w:r>
      <w:r w:rsidR="002B221D">
        <w:rPr>
          <w:rFonts w:ascii="Book Antiqua" w:hAnsi="Book Antiqua"/>
          <w:lang w:val="sr-Latn-RS"/>
        </w:rPr>
        <w:t xml:space="preserve"> </w:t>
      </w:r>
      <w:r>
        <w:rPr>
          <w:rFonts w:ascii="Book Antiqua" w:hAnsi="Book Antiqua"/>
          <w:lang w:val="sr-Latn-RS"/>
        </w:rPr>
        <w:t>p</w:t>
      </w:r>
      <w:r w:rsidR="0001097C">
        <w:rPr>
          <w:rFonts w:ascii="Book Antiqua" w:hAnsi="Book Antiqua"/>
          <w:lang w:val="sr-Latn-RS"/>
        </w:rPr>
        <w:t>otrebno je</w:t>
      </w:r>
      <w:r w:rsidR="00CE2F17">
        <w:rPr>
          <w:rFonts w:ascii="Book Antiqua" w:hAnsi="Book Antiqua"/>
          <w:lang w:val="sr-Latn-RS"/>
        </w:rPr>
        <w:t xml:space="preserve"> istaći dva problema, jedan koji se tiče teoretskog dela definisanja radnji krivičnih dela prema deci i drugi koji obuhvata praktičnu primenu odredbi pozitivnog zakonodavstva. </w:t>
      </w:r>
    </w:p>
    <w:p w:rsidR="008B143E" w:rsidRDefault="00CE2F17" w:rsidP="005F09E1">
      <w:pPr>
        <w:jc w:val="both"/>
        <w:rPr>
          <w:rFonts w:ascii="Book Antiqua" w:hAnsi="Book Antiqua"/>
          <w:lang w:val="sr-Latn-RS"/>
        </w:rPr>
      </w:pPr>
      <w:r>
        <w:rPr>
          <w:rFonts w:ascii="Book Antiqua" w:hAnsi="Book Antiqua"/>
          <w:lang w:val="sr-Latn-RS"/>
        </w:rPr>
        <w:t xml:space="preserve">Odredbe važećeg krivičnog zakonodavstva u vezi sa nasiljem, zlostavljanjem i zanemarivanjem dece u Republici Srbiji treba pažljivo tumačiti iz razloga njihove nedovoljne preciznosti. Naime, propuštajući da precizno definiše ova krivična dela, zakon ostavlja mogućnost primene različitih odredbi krivičnog zakonodavstva pri izvršenju sličnih ili istih radnji krivičnog dela. Neophodno je pomenuti i odredbe ovog zakona kojima su predviđena druga krivična dela, kao što je krivično delo obljube nad nemoćnim licem (u kvalifikovanom slučaju </w:t>
      </w:r>
      <w:r w:rsidR="00EB019E">
        <w:rPr>
          <w:rFonts w:ascii="Book Antiqua" w:hAnsi="Book Antiqua"/>
          <w:lang w:val="sr-Latn-RS"/>
        </w:rPr>
        <w:t>obljube nad maloletnikom</w:t>
      </w:r>
      <w:r>
        <w:rPr>
          <w:rFonts w:ascii="Book Antiqua" w:hAnsi="Book Antiqua"/>
          <w:lang w:val="sr-Latn-RS"/>
        </w:rPr>
        <w:t>)</w:t>
      </w:r>
      <w:r w:rsidR="0021689D">
        <w:rPr>
          <w:rStyle w:val="FootnoteReference"/>
          <w:rFonts w:ascii="Book Antiqua" w:hAnsi="Book Antiqua"/>
          <w:lang w:val="sr-Latn-RS"/>
        </w:rPr>
        <w:footnoteReference w:id="24"/>
      </w:r>
      <w:r w:rsidR="00EB019E">
        <w:rPr>
          <w:rFonts w:ascii="Book Antiqua" w:hAnsi="Book Antiqua"/>
          <w:lang w:val="sr-Latn-RS"/>
        </w:rPr>
        <w:t>, krivično delo obljube sa detetom</w:t>
      </w:r>
      <w:r w:rsidR="0021689D">
        <w:rPr>
          <w:rStyle w:val="FootnoteReference"/>
          <w:rFonts w:ascii="Book Antiqua" w:hAnsi="Book Antiqua"/>
          <w:lang w:val="sr-Latn-RS"/>
        </w:rPr>
        <w:footnoteReference w:id="25"/>
      </w:r>
      <w:r w:rsidR="00EB019E">
        <w:rPr>
          <w:rFonts w:ascii="Book Antiqua" w:hAnsi="Book Antiqua"/>
          <w:lang w:val="sr-Latn-RS"/>
        </w:rPr>
        <w:t>, krivično delo</w:t>
      </w:r>
      <w:r w:rsidR="00E058BC">
        <w:rPr>
          <w:rFonts w:ascii="Book Antiqua" w:hAnsi="Book Antiqua"/>
          <w:lang w:val="sr-Latn-RS"/>
        </w:rPr>
        <w:t xml:space="preserve"> silovanje (u kvalifikovanom slučaju silovanja maloletnika)</w:t>
      </w:r>
      <w:r w:rsidR="007F503A">
        <w:rPr>
          <w:rStyle w:val="FootnoteReference"/>
          <w:rFonts w:ascii="Book Antiqua" w:hAnsi="Book Antiqua"/>
          <w:lang w:val="sr-Latn-RS"/>
        </w:rPr>
        <w:footnoteReference w:id="26"/>
      </w:r>
      <w:r w:rsidR="00E058BC">
        <w:rPr>
          <w:rFonts w:ascii="Book Antiqua" w:hAnsi="Book Antiqua"/>
          <w:lang w:val="sr-Latn-RS"/>
        </w:rPr>
        <w:t>, kao i krivično delo rodoskrnavljenje</w:t>
      </w:r>
      <w:r w:rsidR="007F503A">
        <w:rPr>
          <w:rStyle w:val="FootnoteReference"/>
          <w:rFonts w:ascii="Book Antiqua" w:hAnsi="Book Antiqua"/>
          <w:lang w:val="sr-Latn-RS"/>
        </w:rPr>
        <w:footnoteReference w:id="27"/>
      </w:r>
      <w:r w:rsidR="00E058BC">
        <w:rPr>
          <w:rFonts w:ascii="Book Antiqua" w:hAnsi="Book Antiqua"/>
          <w:lang w:val="sr-Latn-RS"/>
        </w:rPr>
        <w:t>.</w:t>
      </w:r>
      <w:r w:rsidR="007F503A">
        <w:rPr>
          <w:rFonts w:ascii="Book Antiqua" w:hAnsi="Book Antiqua"/>
          <w:lang w:val="sr-Latn-RS"/>
        </w:rPr>
        <w:t xml:space="preserve"> Ukoliko je radnja o</w:t>
      </w:r>
      <w:r w:rsidR="00C17317">
        <w:rPr>
          <w:rFonts w:ascii="Book Antiqua" w:hAnsi="Book Antiqua"/>
          <w:lang w:val="sr-Latn-RS"/>
        </w:rPr>
        <w:t>bljube izvršena koristeći silu/prinudu</w:t>
      </w:r>
      <w:r w:rsidR="007F503A">
        <w:rPr>
          <w:rFonts w:ascii="Book Antiqua" w:hAnsi="Book Antiqua"/>
          <w:lang w:val="sr-Latn-RS"/>
        </w:rPr>
        <w:t xml:space="preserve"> prema žrtvi, ima se kvalifikovati kao radnja izvršenja krivičnog dela </w:t>
      </w:r>
      <w:r w:rsidR="007F503A" w:rsidRPr="00C17317">
        <w:rPr>
          <w:rFonts w:ascii="Book Antiqua" w:hAnsi="Book Antiqua"/>
          <w:b/>
          <w:lang w:val="sr-Latn-RS"/>
        </w:rPr>
        <w:t>silovanja</w:t>
      </w:r>
      <w:r w:rsidR="007F503A">
        <w:rPr>
          <w:rFonts w:ascii="Book Antiqua" w:hAnsi="Book Antiqua"/>
          <w:lang w:val="sr-Latn-RS"/>
        </w:rPr>
        <w:t>,</w:t>
      </w:r>
      <w:r w:rsidR="00AC7A63">
        <w:rPr>
          <w:rFonts w:ascii="Book Antiqua" w:hAnsi="Book Antiqua"/>
          <w:lang w:val="sr-Latn-RS"/>
        </w:rPr>
        <w:t xml:space="preserve"> </w:t>
      </w:r>
      <w:r w:rsidR="00C17317">
        <w:rPr>
          <w:rFonts w:ascii="Book Antiqua" w:hAnsi="Book Antiqua"/>
          <w:lang w:val="sr-Latn-RS"/>
        </w:rPr>
        <w:t xml:space="preserve">dok </w:t>
      </w:r>
      <w:r w:rsidR="00AC7A63">
        <w:rPr>
          <w:rFonts w:ascii="Book Antiqua" w:hAnsi="Book Antiqua"/>
          <w:lang w:val="sr-Latn-RS"/>
        </w:rPr>
        <w:t xml:space="preserve">ukoliko nije korišćena prinuda, a izvršeno je prema maloletnom licu zavisno od uzrasta lica, može biti </w:t>
      </w:r>
      <w:r w:rsidR="00AC7A63" w:rsidRPr="00C17317">
        <w:rPr>
          <w:rFonts w:ascii="Book Antiqua" w:hAnsi="Book Antiqua"/>
          <w:b/>
          <w:lang w:val="sr-Latn-RS"/>
        </w:rPr>
        <w:t>obljuba nad detetom</w:t>
      </w:r>
      <w:r w:rsidR="00AC7A63">
        <w:rPr>
          <w:rFonts w:ascii="Book Antiqua" w:hAnsi="Book Antiqua"/>
          <w:lang w:val="sr-Latn-RS"/>
        </w:rPr>
        <w:t xml:space="preserve"> (lice do 14 godina starosti), ili </w:t>
      </w:r>
      <w:r w:rsidR="00AC7A63" w:rsidRPr="00C17317">
        <w:rPr>
          <w:rFonts w:ascii="Book Antiqua" w:hAnsi="Book Antiqua"/>
          <w:b/>
          <w:lang w:val="sr-Latn-RS"/>
        </w:rPr>
        <w:t>krivično delo zapuštanja i zlostavljanja maloletnog lica</w:t>
      </w:r>
      <w:r w:rsidR="00AC7A63">
        <w:rPr>
          <w:rFonts w:ascii="Book Antiqua" w:hAnsi="Book Antiqua"/>
          <w:lang w:val="sr-Latn-RS"/>
        </w:rPr>
        <w:t xml:space="preserve"> ukoliko je izvršeno iz koristoljublja, odnosno ukoliko je obljuba ili sa njom izjednačen čin sa maloletnim krvnim srodnikom u pravoj liniji ili sa maloletnim bratom ili sestrom, može biti kvalifikovano kao </w:t>
      </w:r>
      <w:r w:rsidR="00AC7A63" w:rsidRPr="00C17317">
        <w:rPr>
          <w:rFonts w:ascii="Book Antiqua" w:hAnsi="Book Antiqua"/>
          <w:b/>
          <w:lang w:val="sr-Latn-RS"/>
        </w:rPr>
        <w:t>krivično delo rodoskrnavljenj</w:t>
      </w:r>
      <w:r w:rsidR="00C17317">
        <w:rPr>
          <w:rFonts w:ascii="Book Antiqua" w:hAnsi="Book Antiqua"/>
          <w:b/>
          <w:lang w:val="sr-Latn-RS"/>
        </w:rPr>
        <w:t>a</w:t>
      </w:r>
      <w:r w:rsidR="00AC7A63">
        <w:rPr>
          <w:rFonts w:ascii="Book Antiqua" w:hAnsi="Book Antiqua"/>
          <w:lang w:val="sr-Latn-RS"/>
        </w:rPr>
        <w:t>. Upravo iz razloga nedovoljne preciznosti zakonopisca, u praksi je česta situacija da javni tužilac odredi pravnu kvalifikaciju zavisno od raspoloživih dokaza</w:t>
      </w:r>
      <w:r w:rsidR="00FE15E5">
        <w:rPr>
          <w:rFonts w:ascii="Book Antiqua" w:hAnsi="Book Antiqua"/>
          <w:lang w:val="sr-Latn-RS"/>
        </w:rPr>
        <w:t xml:space="preserve">, konkretnije da iako ima indicija da je izvršeno teže krivično delo, kvalifikuje se kao neko od blažih jer za njega ima dovoljno dokaznog materijala. Naglašavamo da je u praksi često teško dokazati da li je u određenoj situaciji bila korišćena sila kao i šta tačno ta prinuda mora da ispunjava. </w:t>
      </w:r>
      <w:r w:rsidR="00FB6F13">
        <w:rPr>
          <w:rFonts w:ascii="Book Antiqua" w:hAnsi="Book Antiqua"/>
          <w:lang w:val="sr-Latn-RS"/>
        </w:rPr>
        <w:t xml:space="preserve">Dodatno se postavlja pitanje teorijskog razgraničavanja, a što dovodi do problema u praktičnoj primeni, u slučaju izvršenja obljube sa maloletnim članom porodice, kada je potrebno razgraničiti da li se radi o </w:t>
      </w:r>
      <w:r w:rsidR="00FB6F13" w:rsidRPr="00C17317">
        <w:rPr>
          <w:rFonts w:ascii="Book Antiqua" w:hAnsi="Book Antiqua"/>
          <w:b/>
          <w:lang w:val="sr-Latn-RS"/>
        </w:rPr>
        <w:t>zlostavljanju</w:t>
      </w:r>
      <w:r w:rsidR="00FB6F13">
        <w:rPr>
          <w:rFonts w:ascii="Book Antiqua" w:hAnsi="Book Antiqua"/>
          <w:lang w:val="sr-Latn-RS"/>
        </w:rPr>
        <w:t xml:space="preserve"> (seksualno zlostavljanje od strane člana porodice) ili o </w:t>
      </w:r>
      <w:r w:rsidR="00FB6F13" w:rsidRPr="00C17317">
        <w:rPr>
          <w:rFonts w:ascii="Book Antiqua" w:hAnsi="Book Antiqua"/>
          <w:b/>
          <w:lang w:val="sr-Latn-RS"/>
        </w:rPr>
        <w:t>rodoskrnavljenju</w:t>
      </w:r>
      <w:r w:rsidR="00FB6F13">
        <w:rPr>
          <w:rFonts w:ascii="Book Antiqua" w:hAnsi="Book Antiqua"/>
          <w:lang w:val="sr-Latn-RS"/>
        </w:rPr>
        <w:t xml:space="preserve">, ili pak o </w:t>
      </w:r>
      <w:r w:rsidR="00FB6F13" w:rsidRPr="00C17317">
        <w:rPr>
          <w:rFonts w:ascii="Book Antiqua" w:hAnsi="Book Antiqua"/>
          <w:b/>
          <w:lang w:val="sr-Latn-RS"/>
        </w:rPr>
        <w:t>obljubi nad detetom</w:t>
      </w:r>
      <w:r w:rsidR="00FB6F13">
        <w:rPr>
          <w:rFonts w:ascii="Book Antiqua" w:hAnsi="Book Antiqua"/>
          <w:lang w:val="sr-Latn-RS"/>
        </w:rPr>
        <w:t xml:space="preserve">, a za koje je predviđena najstrožija kazna u odnosu na prethodno dva navedena krivična dela. </w:t>
      </w:r>
      <w:r w:rsidR="00DB5D10">
        <w:rPr>
          <w:rFonts w:ascii="Book Antiqua" w:hAnsi="Book Antiqua"/>
          <w:lang w:val="sr-Latn-RS"/>
        </w:rPr>
        <w:t xml:space="preserve">Mišljenja smo da u ovakvim situacijama nema mesta za neprecizno određivanje bića krivičnog dela, pogotovo ako se prihvati princip zaštite najboljeg interesa deteta, odnosno u konkretnim slučajevima maloletnih lica. </w:t>
      </w:r>
      <w:r w:rsidR="00FB6F13">
        <w:rPr>
          <w:rFonts w:ascii="Book Antiqua" w:hAnsi="Book Antiqua"/>
          <w:lang w:val="sr-Latn-RS"/>
        </w:rPr>
        <w:t xml:space="preserve">  </w:t>
      </w:r>
      <w:r w:rsidR="00FE15E5">
        <w:rPr>
          <w:rFonts w:ascii="Book Antiqua" w:hAnsi="Book Antiqua"/>
          <w:lang w:val="sr-Latn-RS"/>
        </w:rPr>
        <w:t xml:space="preserve"> </w:t>
      </w:r>
      <w:r w:rsidR="00AC7A63">
        <w:rPr>
          <w:rFonts w:ascii="Book Antiqua" w:hAnsi="Book Antiqua"/>
          <w:lang w:val="sr-Latn-RS"/>
        </w:rPr>
        <w:t xml:space="preserve"> </w:t>
      </w:r>
    </w:p>
    <w:p w:rsidR="00CE2F17" w:rsidRDefault="00A57744" w:rsidP="005F09E1">
      <w:pPr>
        <w:jc w:val="both"/>
        <w:rPr>
          <w:rFonts w:ascii="Book Antiqua" w:hAnsi="Book Antiqua"/>
          <w:lang w:val="sr-Latn-RS"/>
        </w:rPr>
      </w:pPr>
      <w:r w:rsidRPr="001662DA">
        <w:rPr>
          <w:rFonts w:ascii="Book Antiqua" w:hAnsi="Book Antiqua"/>
          <w:lang w:val="sr-Latn-RS"/>
        </w:rPr>
        <w:t xml:space="preserve">Dodatno, neophodno je istražiti pitanje </w:t>
      </w:r>
      <w:r w:rsidR="00A5650A">
        <w:rPr>
          <w:rFonts w:ascii="Book Antiqua" w:hAnsi="Book Antiqua"/>
          <w:b/>
          <w:lang w:val="sr-Latn-RS"/>
        </w:rPr>
        <w:t>pokretanja krivičnog</w:t>
      </w:r>
      <w:r w:rsidR="004950B6" w:rsidRPr="001662DA">
        <w:rPr>
          <w:rFonts w:ascii="Book Antiqua" w:hAnsi="Book Antiqua"/>
          <w:b/>
          <w:lang w:val="sr-Latn-RS"/>
        </w:rPr>
        <w:t xml:space="preserve"> </w:t>
      </w:r>
      <w:r w:rsidR="001515B9">
        <w:rPr>
          <w:rFonts w:ascii="Book Antiqua" w:hAnsi="Book Antiqua"/>
          <w:b/>
          <w:lang w:val="sr-Latn-RS"/>
        </w:rPr>
        <w:t>postupka za zaštitu od zlostavljanja i zanemarivanja deteta</w:t>
      </w:r>
      <w:r w:rsidRPr="001662DA">
        <w:rPr>
          <w:rFonts w:ascii="Book Antiqua" w:hAnsi="Book Antiqua"/>
          <w:lang w:val="sr-Latn-RS"/>
        </w:rPr>
        <w:t>, konkretno</w:t>
      </w:r>
      <w:r w:rsidR="001515B9">
        <w:rPr>
          <w:rFonts w:ascii="Book Antiqua" w:hAnsi="Book Antiqua"/>
          <w:lang w:val="sr-Latn-RS"/>
        </w:rPr>
        <w:t xml:space="preserve">, pitanje prijavljivanja zlostavljanja i zanemarivanja deteta, posebno ako se ima u vidu da je ta obaveza </w:t>
      </w:r>
      <w:r w:rsidR="002D7841">
        <w:rPr>
          <w:rFonts w:ascii="Book Antiqua" w:hAnsi="Book Antiqua"/>
          <w:lang w:val="sr-Latn-RS"/>
        </w:rPr>
        <w:t>predviđena Opštim protokolom o zaštiti dece od zlostavljanja i zanemarivanja</w:t>
      </w:r>
      <w:r w:rsidR="002D7841">
        <w:rPr>
          <w:rStyle w:val="FootnoteReference"/>
          <w:rFonts w:ascii="Book Antiqua" w:hAnsi="Book Antiqua"/>
          <w:lang w:val="sr-Latn-RS"/>
        </w:rPr>
        <w:footnoteReference w:id="28"/>
      </w:r>
      <w:r w:rsidR="002D7841">
        <w:rPr>
          <w:rFonts w:ascii="Book Antiqua" w:hAnsi="Book Antiqua"/>
          <w:lang w:val="sr-Latn-RS"/>
        </w:rPr>
        <w:t xml:space="preserve"> a </w:t>
      </w:r>
      <w:r w:rsidR="001515B9">
        <w:rPr>
          <w:rFonts w:ascii="Book Antiqua" w:hAnsi="Book Antiqua"/>
          <w:lang w:val="sr-Latn-RS"/>
        </w:rPr>
        <w:t>propisana</w:t>
      </w:r>
      <w:r w:rsidR="002D7841">
        <w:rPr>
          <w:rFonts w:ascii="Book Antiqua" w:hAnsi="Book Antiqua"/>
          <w:lang w:val="sr-Latn-RS"/>
        </w:rPr>
        <w:t xml:space="preserve"> je odredbama Porodičnog zakona</w:t>
      </w:r>
      <w:r w:rsidR="002D7841">
        <w:rPr>
          <w:rStyle w:val="FootnoteReference"/>
          <w:rFonts w:ascii="Book Antiqua" w:hAnsi="Book Antiqua"/>
          <w:lang w:val="sr-Latn-RS"/>
        </w:rPr>
        <w:footnoteReference w:id="29"/>
      </w:r>
      <w:r w:rsidR="004322B1">
        <w:rPr>
          <w:rFonts w:ascii="Book Antiqua" w:hAnsi="Book Antiqua"/>
          <w:lang w:val="sr-Latn-RS"/>
        </w:rPr>
        <w:t>.</w:t>
      </w:r>
      <w:r w:rsidR="004950B6" w:rsidRPr="001662DA">
        <w:rPr>
          <w:rFonts w:ascii="Book Antiqua" w:hAnsi="Book Antiqua"/>
          <w:lang w:val="sr-Latn-RS"/>
        </w:rPr>
        <w:t xml:space="preserve"> </w:t>
      </w:r>
      <w:r w:rsidR="00403639">
        <w:rPr>
          <w:rFonts w:ascii="Book Antiqua" w:hAnsi="Book Antiqua"/>
          <w:lang w:val="sr-Latn-RS"/>
        </w:rPr>
        <w:t xml:space="preserve">I pored propisane </w:t>
      </w:r>
      <w:r w:rsidR="004950B6" w:rsidRPr="001662DA">
        <w:rPr>
          <w:rFonts w:ascii="Book Antiqua" w:hAnsi="Book Antiqua"/>
          <w:lang w:val="sr-Latn-RS"/>
        </w:rPr>
        <w:t xml:space="preserve">obaveze </w:t>
      </w:r>
      <w:r w:rsidR="00403639">
        <w:rPr>
          <w:rFonts w:ascii="Book Antiqua" w:hAnsi="Book Antiqua"/>
          <w:lang w:val="sr-Latn-RS"/>
        </w:rPr>
        <w:t>obaveštavanja javnog tužioca</w:t>
      </w:r>
      <w:r w:rsidR="004950B6" w:rsidRPr="001662DA">
        <w:rPr>
          <w:rFonts w:ascii="Book Antiqua" w:hAnsi="Book Antiqua"/>
          <w:lang w:val="sr-Latn-RS"/>
        </w:rPr>
        <w:t xml:space="preserve"> o postojanju osnova z</w:t>
      </w:r>
      <w:r w:rsidR="00403639">
        <w:rPr>
          <w:rFonts w:ascii="Book Antiqua" w:hAnsi="Book Antiqua"/>
          <w:lang w:val="sr-Latn-RS"/>
        </w:rPr>
        <w:t>a pokretanje krivičnog postupka u praksi se dešava da ta prijava izostane ili da zakasni, a što</w:t>
      </w:r>
      <w:r w:rsidR="00C17317">
        <w:rPr>
          <w:rFonts w:ascii="Book Antiqua" w:hAnsi="Book Antiqua"/>
          <w:lang w:val="sr-Latn-RS"/>
        </w:rPr>
        <w:t xml:space="preserve"> upravo pokazuje međusobnu neusklađenost i nekoordinisanost svih relevantnih učesnika u postupku zaštite.</w:t>
      </w:r>
      <w:r w:rsidR="004950B6" w:rsidRPr="001662DA">
        <w:rPr>
          <w:rFonts w:ascii="Book Antiqua" w:hAnsi="Book Antiqua"/>
          <w:lang w:val="sr-Latn-RS"/>
        </w:rPr>
        <w:t xml:space="preserve"> U praksi se često dešava da se vodi parnični postupak za zaštitu od nasilja u porodici, da budu donete mere zaštite od nasilja u porodici</w:t>
      </w:r>
      <w:r w:rsidR="009149FA" w:rsidRPr="001662DA">
        <w:rPr>
          <w:rFonts w:ascii="Book Antiqua" w:hAnsi="Book Antiqua"/>
          <w:lang w:val="sr-Latn-RS"/>
        </w:rPr>
        <w:t>, kao</w:t>
      </w:r>
      <w:r w:rsidR="004950B6" w:rsidRPr="001662DA">
        <w:rPr>
          <w:rFonts w:ascii="Book Antiqua" w:hAnsi="Book Antiqua"/>
          <w:lang w:val="sr-Latn-RS"/>
        </w:rPr>
        <w:t xml:space="preserve"> i pravosnažne presude u kojima se utvrđuje </w:t>
      </w:r>
      <w:r w:rsidR="00C17317">
        <w:rPr>
          <w:rFonts w:ascii="Book Antiqua" w:hAnsi="Book Antiqua"/>
          <w:lang w:val="sr-Latn-RS"/>
        </w:rPr>
        <w:t>postojanje</w:t>
      </w:r>
      <w:r w:rsidR="009149FA" w:rsidRPr="001662DA">
        <w:rPr>
          <w:rFonts w:ascii="Book Antiqua" w:hAnsi="Book Antiqua"/>
          <w:lang w:val="sr-Latn-RS"/>
        </w:rPr>
        <w:t xml:space="preserve"> nasilja u porodici, a da pri tome javno tužilaštvo ne pokrene krivični postupak.</w:t>
      </w:r>
      <w:r w:rsidR="004950B6" w:rsidRPr="001662DA">
        <w:rPr>
          <w:rFonts w:ascii="Book Antiqua" w:hAnsi="Book Antiqua"/>
          <w:lang w:val="sr-Latn-RS"/>
        </w:rPr>
        <w:t xml:space="preserve"> </w:t>
      </w:r>
      <w:r w:rsidR="009149FA" w:rsidRPr="001662DA">
        <w:rPr>
          <w:rFonts w:ascii="Book Antiqua" w:hAnsi="Book Antiqua"/>
          <w:lang w:val="sr-Latn-RS"/>
        </w:rPr>
        <w:t>Takođe, ukoliko paralelno teku oba postupka, parnični i krivični postupak za zaštitu od nasilja u porodici, nepostojanje međusobne saradnje ova dva suda takođe dovodi do obesmišljavanja prav</w:t>
      </w:r>
      <w:r w:rsidR="00766C0D" w:rsidRPr="001662DA">
        <w:rPr>
          <w:rFonts w:ascii="Book Antiqua" w:hAnsi="Book Antiqua"/>
          <w:lang w:val="sr-Latn-RS"/>
        </w:rPr>
        <w:t xml:space="preserve">nog sistema i pravne zaštite od nasilja u porodici, jer žrtva </w:t>
      </w:r>
      <w:r w:rsidR="00F72EFF">
        <w:rPr>
          <w:rFonts w:ascii="Book Antiqua" w:hAnsi="Book Antiqua"/>
          <w:lang w:val="sr-Latn-RS"/>
        </w:rPr>
        <w:t xml:space="preserve">nasilja </w:t>
      </w:r>
      <w:r w:rsidR="00766C0D" w:rsidRPr="001662DA">
        <w:rPr>
          <w:rFonts w:ascii="Book Antiqua" w:hAnsi="Book Antiqua"/>
          <w:lang w:val="sr-Latn-RS"/>
        </w:rPr>
        <w:t>mora sama da dostavlja iste podatke i dokaze u oba postupka.</w:t>
      </w:r>
      <w:r w:rsidR="00766C0D">
        <w:rPr>
          <w:rFonts w:ascii="Book Antiqua" w:hAnsi="Book Antiqua"/>
          <w:lang w:val="sr-Latn-RS"/>
        </w:rPr>
        <w:t xml:space="preserve"> </w:t>
      </w:r>
      <w:r>
        <w:rPr>
          <w:rFonts w:ascii="Book Antiqua" w:hAnsi="Book Antiqua"/>
          <w:lang w:val="sr-Latn-RS"/>
        </w:rPr>
        <w:t xml:space="preserve"> </w:t>
      </w:r>
      <w:r w:rsidR="00CE2F17">
        <w:rPr>
          <w:rFonts w:ascii="Book Antiqua" w:hAnsi="Book Antiqua"/>
          <w:lang w:val="sr-Latn-RS"/>
        </w:rPr>
        <w:t xml:space="preserve"> </w:t>
      </w:r>
    </w:p>
    <w:p w:rsidR="0001097C" w:rsidRPr="0001097C" w:rsidRDefault="00385A07" w:rsidP="005F09E1">
      <w:pPr>
        <w:jc w:val="both"/>
        <w:rPr>
          <w:rFonts w:ascii="Book Antiqua" w:hAnsi="Book Antiqua"/>
          <w:lang w:val="sr-Latn-RS"/>
        </w:rPr>
      </w:pPr>
      <w:r w:rsidRPr="00BD7D4C">
        <w:rPr>
          <w:rFonts w:ascii="Book Antiqua" w:hAnsi="Book Antiqua"/>
          <w:lang w:val="sr-Latn-RS"/>
        </w:rPr>
        <w:t>Takođe, navedeno i</w:t>
      </w:r>
      <w:r w:rsidR="0001097C" w:rsidRPr="00BD7D4C">
        <w:rPr>
          <w:rFonts w:ascii="Book Antiqua" w:hAnsi="Book Antiqua"/>
          <w:lang w:val="sr-Latn-RS"/>
        </w:rPr>
        <w:t>straživanje je pokazalo da sudovi pokazuju veoma nizak stepen postupanja kada je u pitanju zaštita bezbednosti deteta i porodice, odnosno preduzimanje mera zaštite primetno je od strane centara za socijalni rad, ali sudovi ne preduzimaju direktne radnje čak ni u situaciji kada su obavešteni da je bezbednost deteta ugrožena. Naime, na osnovu slučajeva koji su bili predmet istraživanja, samo u jednom predmetu je sud odredio meru bezbednosti deteta i to izricanjem mere zabrane približavanja oštećenom (detetu).</w:t>
      </w:r>
      <w:r w:rsidR="0001097C" w:rsidRPr="00BD7D4C">
        <w:rPr>
          <w:rStyle w:val="FootnoteReference"/>
          <w:rFonts w:ascii="Book Antiqua" w:hAnsi="Book Antiqua"/>
          <w:lang w:val="sr-Latn-RS"/>
        </w:rPr>
        <w:footnoteReference w:id="30"/>
      </w:r>
      <w:r w:rsidR="0001097C">
        <w:rPr>
          <w:rFonts w:ascii="Book Antiqua" w:hAnsi="Book Antiqua"/>
          <w:lang w:val="sr-Latn-RS"/>
        </w:rPr>
        <w:t xml:space="preserve"> </w:t>
      </w:r>
    </w:p>
    <w:p w:rsidR="00287FB2" w:rsidRPr="00287FB2" w:rsidRDefault="00287FB2" w:rsidP="005F09E1">
      <w:pPr>
        <w:jc w:val="both"/>
        <w:rPr>
          <w:rFonts w:ascii="Book Antiqua" w:hAnsi="Book Antiqua"/>
          <w:lang w:val="sr-Latn-RS"/>
        </w:rPr>
      </w:pPr>
      <w:r w:rsidRPr="00287FB2">
        <w:rPr>
          <w:rFonts w:ascii="Book Antiqua" w:hAnsi="Book Antiqua"/>
          <w:b/>
          <w:lang w:val="sr-Latn-RS"/>
        </w:rPr>
        <w:t>Istanbulska konvencija</w:t>
      </w:r>
      <w:r>
        <w:rPr>
          <w:rFonts w:ascii="Book Antiqua" w:hAnsi="Book Antiqua"/>
          <w:lang w:val="sr-Latn-RS"/>
        </w:rPr>
        <w:t xml:space="preserve"> predviđa obavezu države da preduzmu sve </w:t>
      </w:r>
      <w:r w:rsidRPr="00287FB2">
        <w:rPr>
          <w:rFonts w:ascii="Book Antiqua" w:hAnsi="Book Antiqua"/>
          <w:lang w:val="sr-Latn-RS"/>
        </w:rPr>
        <w:t>neophodne zakonodavne ili druge mere za usvajanje i primenu delotvornih, sveobuhvatnih i koordini</w:t>
      </w:r>
      <w:r w:rsidR="00F72EFF">
        <w:rPr>
          <w:rFonts w:ascii="Book Antiqua" w:hAnsi="Book Antiqua"/>
          <w:lang w:val="sr-Latn-RS"/>
        </w:rPr>
        <w:t>sanih</w:t>
      </w:r>
      <w:r w:rsidRPr="00287FB2">
        <w:rPr>
          <w:rFonts w:ascii="Book Antiqua" w:hAnsi="Book Antiqua"/>
          <w:lang w:val="sr-Latn-RS"/>
        </w:rPr>
        <w:t xml:space="preserve"> državnih politika, koje obuhvataju sve relevantne mere za sprečavanje i borbu protiv svih vidova nasilja obuhvaćenih ovom konvencijom i nude </w:t>
      </w:r>
      <w:r w:rsidRPr="00287FB2">
        <w:rPr>
          <w:rFonts w:ascii="Book Antiqua" w:hAnsi="Book Antiqua"/>
          <w:b/>
          <w:lang w:val="sr-Latn-RS"/>
        </w:rPr>
        <w:t>holistički odgovor na nasilje nad ženama</w:t>
      </w:r>
      <w:r>
        <w:rPr>
          <w:rFonts w:ascii="Book Antiqua" w:hAnsi="Book Antiqua"/>
          <w:lang w:val="sr-Latn-RS"/>
        </w:rPr>
        <w:t>.</w:t>
      </w:r>
      <w:r>
        <w:rPr>
          <w:rStyle w:val="FootnoteReference"/>
          <w:rFonts w:ascii="Book Antiqua" w:hAnsi="Book Antiqua"/>
          <w:lang w:val="sr-Latn-RS"/>
        </w:rPr>
        <w:footnoteReference w:id="31"/>
      </w:r>
      <w:r>
        <w:rPr>
          <w:rFonts w:ascii="Book Antiqua" w:hAnsi="Book Antiqua"/>
          <w:lang w:val="sr-Latn-RS"/>
        </w:rPr>
        <w:t xml:space="preserve"> Dakle, predviđa </w:t>
      </w:r>
      <w:r w:rsidRPr="00F335B3">
        <w:rPr>
          <w:rFonts w:ascii="Book Antiqua" w:hAnsi="Book Antiqua"/>
          <w:b/>
          <w:lang w:val="sr-Latn-RS"/>
        </w:rPr>
        <w:t>delotvornu s</w:t>
      </w:r>
      <w:r w:rsidR="00C77D23">
        <w:rPr>
          <w:rFonts w:ascii="Book Antiqua" w:hAnsi="Book Antiqua"/>
          <w:b/>
          <w:lang w:val="sr-Latn-RS"/>
        </w:rPr>
        <w:t xml:space="preserve">aradnju svih nadležnih službi, </w:t>
      </w:r>
      <w:r w:rsidRPr="00F335B3">
        <w:rPr>
          <w:rFonts w:ascii="Book Antiqua" w:hAnsi="Book Antiqua"/>
          <w:b/>
          <w:lang w:val="sr-Latn-RS"/>
        </w:rPr>
        <w:t>institucija i organizacija</w:t>
      </w:r>
      <w:r>
        <w:rPr>
          <w:rFonts w:ascii="Book Antiqua" w:hAnsi="Book Antiqua"/>
          <w:lang w:val="sr-Latn-RS"/>
        </w:rPr>
        <w:t xml:space="preserve"> (državne</w:t>
      </w:r>
      <w:r w:rsidRPr="00287FB2">
        <w:rPr>
          <w:rFonts w:ascii="Book Antiqua" w:hAnsi="Book Antiqua"/>
          <w:lang w:val="sr-Latn-RS"/>
        </w:rPr>
        <w:t xml:space="preserve"> organ</w:t>
      </w:r>
      <w:r>
        <w:rPr>
          <w:rFonts w:ascii="Book Antiqua" w:hAnsi="Book Antiqua"/>
          <w:lang w:val="sr-Latn-RS"/>
        </w:rPr>
        <w:t>e</w:t>
      </w:r>
      <w:r w:rsidRPr="00287FB2">
        <w:rPr>
          <w:rFonts w:ascii="Book Antiqua" w:hAnsi="Book Antiqua"/>
          <w:lang w:val="sr-Latn-RS"/>
        </w:rPr>
        <w:t>, nacionalne, regionalne i lokalne skupštine i uprave, državne institucije za zaštitu ljudskih prava i organizacije civilnog društva</w:t>
      </w:r>
      <w:r w:rsidR="001662DA">
        <w:rPr>
          <w:rFonts w:ascii="Book Antiqua" w:hAnsi="Book Antiqua"/>
          <w:lang w:val="sr-Latn-RS"/>
        </w:rPr>
        <w:t>)</w:t>
      </w:r>
      <w:r w:rsidR="00F72EFF">
        <w:rPr>
          <w:rFonts w:ascii="Book Antiqua" w:hAnsi="Book Antiqua"/>
          <w:lang w:val="sr-Latn-RS"/>
        </w:rPr>
        <w:t>.</w:t>
      </w:r>
    </w:p>
    <w:p w:rsidR="001662DA" w:rsidRPr="001662DA" w:rsidRDefault="001662DA" w:rsidP="001662DA">
      <w:pPr>
        <w:jc w:val="both"/>
        <w:rPr>
          <w:rFonts w:ascii="Book Antiqua" w:hAnsi="Book Antiqua"/>
          <w:lang w:val="sr-Latn-RS"/>
        </w:rPr>
      </w:pPr>
      <w:r w:rsidRPr="001662DA">
        <w:rPr>
          <w:rFonts w:ascii="Book Antiqua" w:hAnsi="Book Antiqua"/>
          <w:lang w:val="sr-Latn-RS"/>
        </w:rPr>
        <w:t xml:space="preserve">Na osnovu podataka kojima raspolaže Pokrajinski ombudsman na teritoriji AP Vojvodina, deca su </w:t>
      </w:r>
      <w:r>
        <w:rPr>
          <w:rFonts w:ascii="Book Antiqua" w:hAnsi="Book Antiqua"/>
          <w:lang w:val="sr-Latn-RS"/>
        </w:rPr>
        <w:t>žrtve porodičnog nasilja u građanskim postupcima u 19% slučajeva, dok je u krivičnim postupcima taj broj znatno manji i iznosi 5%, što pokazuje da se pravna zaštita dece češće tr</w:t>
      </w:r>
      <w:r w:rsidR="00F335B3">
        <w:rPr>
          <w:rFonts w:ascii="Book Antiqua" w:hAnsi="Book Antiqua"/>
          <w:lang w:val="sr-Latn-RS"/>
        </w:rPr>
        <w:t>aži u porodičnopravnoj zaštiti.</w:t>
      </w:r>
      <w:r w:rsidR="00F335B3">
        <w:rPr>
          <w:rStyle w:val="FootnoteReference"/>
          <w:rFonts w:ascii="Book Antiqua" w:hAnsi="Book Antiqua"/>
          <w:lang w:val="sr-Latn-RS"/>
        </w:rPr>
        <w:footnoteReference w:id="32"/>
      </w:r>
      <w:r w:rsidR="00F335B3">
        <w:rPr>
          <w:rFonts w:ascii="Book Antiqua" w:hAnsi="Book Antiqua"/>
          <w:lang w:val="sr-Latn-RS"/>
        </w:rPr>
        <w:t xml:space="preserve"> Na osnovu podataka Centara za socijalni rad, ustanove</w:t>
      </w:r>
      <w:r w:rsidR="00F72EFF">
        <w:rPr>
          <w:rFonts w:ascii="Book Antiqua" w:hAnsi="Book Antiqua"/>
          <w:lang w:val="sr-Latn-RS"/>
        </w:rPr>
        <w:t xml:space="preserve"> koje su dužne da se staraju o deci</w:t>
      </w:r>
      <w:r w:rsidR="00F335B3">
        <w:rPr>
          <w:rFonts w:ascii="Book Antiqua" w:hAnsi="Book Antiqua"/>
          <w:lang w:val="sr-Latn-RS"/>
        </w:rPr>
        <w:t xml:space="preserve"> retko prijavljuju slučajeve porodičnog nasilja nad decom, odnosno samo u 9% slučajeva. </w:t>
      </w:r>
    </w:p>
    <w:p w:rsidR="005F09E1" w:rsidRPr="0014497A" w:rsidRDefault="00C77D23" w:rsidP="005F09E1">
      <w:pPr>
        <w:jc w:val="both"/>
        <w:rPr>
          <w:rFonts w:ascii="Book Antiqua" w:hAnsi="Book Antiqua"/>
          <w:lang w:val="sr-Latn-RS"/>
        </w:rPr>
      </w:pPr>
      <w:r>
        <w:rPr>
          <w:rFonts w:ascii="Book Antiqua" w:hAnsi="Book Antiqua"/>
          <w:lang w:val="sr-Latn-RS"/>
        </w:rPr>
        <w:t>Ističemo da uporednopravna analiza pokazuje</w:t>
      </w:r>
      <w:r w:rsidR="00DB5D10">
        <w:rPr>
          <w:rFonts w:ascii="Book Antiqua" w:hAnsi="Book Antiqua"/>
          <w:lang w:val="sr-Latn-RS"/>
        </w:rPr>
        <w:t xml:space="preserve"> da je </w:t>
      </w:r>
      <w:r w:rsidR="00F72EFF">
        <w:rPr>
          <w:rFonts w:ascii="Book Antiqua" w:hAnsi="Book Antiqua"/>
          <w:lang w:val="sr-Latn-RS"/>
        </w:rPr>
        <w:t xml:space="preserve">kaznena politika, odnosno sistem kazni i kažnjavanja </w:t>
      </w:r>
      <w:r w:rsidR="00DB5D10">
        <w:rPr>
          <w:rFonts w:ascii="Book Antiqua" w:hAnsi="Book Antiqua"/>
          <w:lang w:val="sr-Latn-RS"/>
        </w:rPr>
        <w:t>nedovolj</w:t>
      </w:r>
      <w:r w:rsidR="00F72EFF">
        <w:rPr>
          <w:rFonts w:ascii="Book Antiqua" w:hAnsi="Book Antiqua"/>
          <w:lang w:val="sr-Latn-RS"/>
        </w:rPr>
        <w:t xml:space="preserve">an </w:t>
      </w:r>
      <w:r w:rsidR="00DB5D10">
        <w:rPr>
          <w:rFonts w:ascii="Book Antiqua" w:hAnsi="Book Antiqua"/>
          <w:lang w:val="sr-Latn-RS"/>
        </w:rPr>
        <w:t xml:space="preserve">za smanjenje izvršenja krivičnih dela, te da je neophodno </w:t>
      </w:r>
      <w:r w:rsidR="00DB5D10" w:rsidRPr="00DB5D10">
        <w:rPr>
          <w:rFonts w:ascii="Book Antiqua" w:hAnsi="Book Antiqua"/>
          <w:b/>
          <w:lang w:val="sr-Latn-RS"/>
        </w:rPr>
        <w:t>poboljšati sistem preventivnog delovanja</w:t>
      </w:r>
      <w:r w:rsidR="00DB5D10">
        <w:rPr>
          <w:rFonts w:ascii="Book Antiqua" w:hAnsi="Book Antiqua"/>
          <w:lang w:val="sr-Latn-RS"/>
        </w:rPr>
        <w:t xml:space="preserve">, i to kako generalne prevencije, tako i prema licima koja su izvršila određeno krivično delo </w:t>
      </w:r>
      <w:r w:rsidR="00DB5D10" w:rsidRPr="00F72EFF">
        <w:rPr>
          <w:rFonts w:ascii="Book Antiqua" w:hAnsi="Book Antiqua"/>
          <w:b/>
          <w:lang w:val="sr-Latn-RS"/>
        </w:rPr>
        <w:t>u cilju smanjenja recidivizma</w:t>
      </w:r>
      <w:r w:rsidR="00DB5D10">
        <w:rPr>
          <w:rFonts w:ascii="Book Antiqua" w:hAnsi="Book Antiqua"/>
          <w:lang w:val="sr-Latn-RS"/>
        </w:rPr>
        <w:t>. S tim u vezi i v</w:t>
      </w:r>
      <w:r w:rsidR="005F09E1" w:rsidRPr="0014497A">
        <w:rPr>
          <w:rFonts w:ascii="Book Antiqua" w:hAnsi="Book Antiqua"/>
          <w:lang w:val="sr-Latn-RS"/>
        </w:rPr>
        <w:t>eliki broj među</w:t>
      </w:r>
      <w:r w:rsidR="00DB5D10">
        <w:rPr>
          <w:rFonts w:ascii="Book Antiqua" w:hAnsi="Book Antiqua"/>
          <w:lang w:val="sr-Latn-RS"/>
        </w:rPr>
        <w:t>narodnih pravnih dokumenata koji</w:t>
      </w:r>
      <w:r w:rsidR="005F09E1" w:rsidRPr="0014497A">
        <w:rPr>
          <w:rFonts w:ascii="Book Antiqua" w:hAnsi="Book Antiqua"/>
          <w:lang w:val="sr-Latn-RS"/>
        </w:rPr>
        <w:t xml:space="preserve"> se bave pitanjem nasilja u porodici i nasilja prema</w:t>
      </w:r>
      <w:r w:rsidR="005F09E1">
        <w:rPr>
          <w:rFonts w:ascii="Book Antiqua" w:hAnsi="Book Antiqua"/>
          <w:lang w:val="sr-Latn-RS"/>
        </w:rPr>
        <w:t xml:space="preserve"> </w:t>
      </w:r>
      <w:r w:rsidR="005F09E1" w:rsidRPr="0014497A">
        <w:rPr>
          <w:rFonts w:ascii="Book Antiqua" w:hAnsi="Book Antiqua"/>
          <w:lang w:val="sr-Latn-RS"/>
        </w:rPr>
        <w:t>ženama prepoznaj</w:t>
      </w:r>
      <w:r w:rsidR="00284F7E">
        <w:rPr>
          <w:rFonts w:ascii="Book Antiqua" w:hAnsi="Book Antiqua"/>
          <w:lang w:val="sr-Latn-RS"/>
        </w:rPr>
        <w:t>e</w:t>
      </w:r>
      <w:r w:rsidR="005F09E1" w:rsidRPr="0014497A">
        <w:rPr>
          <w:rFonts w:ascii="Book Antiqua" w:hAnsi="Book Antiqua"/>
          <w:lang w:val="sr-Latn-RS"/>
        </w:rPr>
        <w:t xml:space="preserve"> potrebu za radom sa izvršiocima nasilja u porodici</w:t>
      </w:r>
      <w:r w:rsidR="00284F7E">
        <w:rPr>
          <w:rFonts w:ascii="Book Antiqua" w:hAnsi="Book Antiqua"/>
          <w:lang w:val="sr-Latn-RS"/>
        </w:rPr>
        <w:t xml:space="preserve"> upravo iz razloga smanjenja </w:t>
      </w:r>
      <w:r w:rsidR="00DB5D10">
        <w:rPr>
          <w:rFonts w:ascii="Book Antiqua" w:hAnsi="Book Antiqua"/>
          <w:lang w:val="sr-Latn-RS"/>
        </w:rPr>
        <w:t>povrata</w:t>
      </w:r>
      <w:r w:rsidR="00284F7E">
        <w:rPr>
          <w:rFonts w:ascii="Book Antiqua" w:hAnsi="Book Antiqua"/>
          <w:lang w:val="sr-Latn-RS"/>
        </w:rPr>
        <w:t>, kao neophodnog načina smanjenja izvršenja ovog krivičnog dela</w:t>
      </w:r>
      <w:r w:rsidR="005F09E1" w:rsidRPr="0014497A">
        <w:rPr>
          <w:rFonts w:ascii="Book Antiqua" w:hAnsi="Book Antiqua"/>
          <w:lang w:val="sr-Latn-RS"/>
        </w:rPr>
        <w:t xml:space="preserve">. </w:t>
      </w:r>
    </w:p>
    <w:p w:rsidR="00284F7E" w:rsidRDefault="001E34E3" w:rsidP="00B61F74">
      <w:pPr>
        <w:jc w:val="both"/>
        <w:rPr>
          <w:rFonts w:ascii="Book Antiqua" w:hAnsi="Book Antiqua"/>
          <w:lang w:val="sr-Latn-RS"/>
        </w:rPr>
      </w:pPr>
      <w:r w:rsidRPr="00F72EFF">
        <w:rPr>
          <w:rFonts w:ascii="Book Antiqua" w:hAnsi="Book Antiqua"/>
          <w:b/>
          <w:lang w:val="sr-Latn-RS"/>
        </w:rPr>
        <w:t>Istanbulska konvencija</w:t>
      </w:r>
      <w:r w:rsidR="00284F7E" w:rsidRPr="001E34E3">
        <w:rPr>
          <w:rStyle w:val="FootnoteReference"/>
          <w:rFonts w:ascii="Book Antiqua" w:hAnsi="Book Antiqua"/>
          <w:lang w:val="sr-Latn-RS"/>
        </w:rPr>
        <w:footnoteReference w:id="33"/>
      </w:r>
      <w:r w:rsidR="00284F7E" w:rsidRPr="001E34E3">
        <w:rPr>
          <w:rFonts w:ascii="Book Antiqua" w:hAnsi="Book Antiqua"/>
          <w:lang w:val="sr-Latn-RS"/>
        </w:rPr>
        <w:t xml:space="preserve"> </w:t>
      </w:r>
      <w:r w:rsidR="00B61F74" w:rsidRPr="001E34E3">
        <w:rPr>
          <w:rFonts w:ascii="Book Antiqua" w:hAnsi="Book Antiqua"/>
          <w:lang w:val="sr-Latn-RS"/>
        </w:rPr>
        <w:t>prepoznaje da su deca žrtve nasilja u porodici, kao i svedoci nasilja u porodici</w:t>
      </w:r>
      <w:r w:rsidRPr="001E34E3">
        <w:rPr>
          <w:rFonts w:ascii="Book Antiqua" w:hAnsi="Book Antiqua"/>
          <w:lang w:val="sr-Latn-RS"/>
        </w:rPr>
        <w:t xml:space="preserve"> i </w:t>
      </w:r>
      <w:r w:rsidR="00DB5D10" w:rsidRPr="001E34E3">
        <w:rPr>
          <w:rFonts w:ascii="Book Antiqua" w:hAnsi="Book Antiqua"/>
          <w:lang w:val="sr-Latn-RS"/>
        </w:rPr>
        <w:t>prepozna</w:t>
      </w:r>
      <w:r w:rsidRPr="001E34E3">
        <w:rPr>
          <w:rFonts w:ascii="Book Antiqua" w:hAnsi="Book Antiqua"/>
          <w:lang w:val="sr-Latn-RS"/>
        </w:rPr>
        <w:t>je</w:t>
      </w:r>
      <w:r w:rsidR="00DB5D10" w:rsidRPr="001E34E3">
        <w:rPr>
          <w:rFonts w:ascii="Book Antiqua" w:hAnsi="Book Antiqua"/>
          <w:lang w:val="sr-Latn-RS"/>
        </w:rPr>
        <w:t xml:space="preserve"> </w:t>
      </w:r>
      <w:r w:rsidR="00B61F74" w:rsidRPr="001E34E3">
        <w:rPr>
          <w:rFonts w:ascii="Book Antiqua" w:hAnsi="Book Antiqua"/>
          <w:lang w:val="sr-Latn-RS"/>
        </w:rPr>
        <w:t>program</w:t>
      </w:r>
      <w:r w:rsidRPr="001E34E3">
        <w:rPr>
          <w:rFonts w:ascii="Book Antiqua" w:hAnsi="Book Antiqua"/>
          <w:lang w:val="sr-Latn-RS"/>
        </w:rPr>
        <w:t>e</w:t>
      </w:r>
      <w:r w:rsidR="00B61F74" w:rsidRPr="001E34E3">
        <w:rPr>
          <w:rFonts w:ascii="Book Antiqua" w:hAnsi="Book Antiqua"/>
          <w:lang w:val="sr-Latn-RS"/>
        </w:rPr>
        <w:t xml:space="preserve"> pre</w:t>
      </w:r>
      <w:r w:rsidRPr="001E34E3">
        <w:rPr>
          <w:rFonts w:ascii="Book Antiqua" w:hAnsi="Book Antiqua"/>
          <w:lang w:val="sr-Latn-RS"/>
        </w:rPr>
        <w:t>ventivne intervencije i programe za rad sa izvršiocima nasilja tako što</w:t>
      </w:r>
      <w:r w:rsidR="00284F7E" w:rsidRPr="001E34E3">
        <w:rPr>
          <w:rFonts w:ascii="Book Antiqua" w:hAnsi="Book Antiqua"/>
          <w:lang w:val="sr-Latn-RS"/>
        </w:rPr>
        <w:t xml:space="preserve"> </w:t>
      </w:r>
      <w:r w:rsidRPr="001E34E3">
        <w:rPr>
          <w:rFonts w:ascii="Book Antiqua" w:hAnsi="Book Antiqua"/>
          <w:lang w:val="sr-Latn-RS"/>
        </w:rPr>
        <w:t>nalaže p</w:t>
      </w:r>
      <w:r w:rsidR="00B61F74" w:rsidRPr="001E34E3">
        <w:rPr>
          <w:rFonts w:ascii="Book Antiqua" w:hAnsi="Book Antiqua"/>
          <w:lang w:val="sr-Latn-RS"/>
        </w:rPr>
        <w:t>reduz</w:t>
      </w:r>
      <w:r w:rsidRPr="001E34E3">
        <w:rPr>
          <w:rFonts w:ascii="Book Antiqua" w:hAnsi="Book Antiqua"/>
          <w:lang w:val="sr-Latn-RS"/>
        </w:rPr>
        <w:t>imanje</w:t>
      </w:r>
      <w:r w:rsidR="00B61F74" w:rsidRPr="001E34E3">
        <w:rPr>
          <w:rFonts w:ascii="Book Antiqua" w:hAnsi="Book Antiqua"/>
          <w:lang w:val="sr-Latn-RS"/>
        </w:rPr>
        <w:t xml:space="preserve"> </w:t>
      </w:r>
      <w:r w:rsidRPr="001E34E3">
        <w:rPr>
          <w:rFonts w:ascii="Book Antiqua" w:hAnsi="Book Antiqua"/>
          <w:lang w:val="sr-Latn-RS"/>
        </w:rPr>
        <w:t xml:space="preserve">svih </w:t>
      </w:r>
      <w:r w:rsidR="00B61F74" w:rsidRPr="001E34E3">
        <w:rPr>
          <w:rFonts w:ascii="Book Antiqua" w:hAnsi="Book Antiqua"/>
          <w:lang w:val="sr-Latn-RS"/>
        </w:rPr>
        <w:t>neophodn</w:t>
      </w:r>
      <w:r w:rsidRPr="001E34E3">
        <w:rPr>
          <w:rFonts w:ascii="Book Antiqua" w:hAnsi="Book Antiqua"/>
          <w:lang w:val="sr-Latn-RS"/>
        </w:rPr>
        <w:t>ih</w:t>
      </w:r>
      <w:r w:rsidR="00B61F74" w:rsidRPr="001E34E3">
        <w:rPr>
          <w:rFonts w:ascii="Book Antiqua" w:hAnsi="Book Antiqua"/>
          <w:lang w:val="sr-Latn-RS"/>
        </w:rPr>
        <w:t xml:space="preserve"> mer</w:t>
      </w:r>
      <w:r w:rsidRPr="001E34E3">
        <w:rPr>
          <w:rFonts w:ascii="Book Antiqua" w:hAnsi="Book Antiqua"/>
          <w:lang w:val="sr-Latn-RS"/>
        </w:rPr>
        <w:t>a</w:t>
      </w:r>
      <w:r w:rsidR="00B61F74" w:rsidRPr="001E34E3">
        <w:rPr>
          <w:rFonts w:ascii="Book Antiqua" w:hAnsi="Book Antiqua"/>
          <w:lang w:val="sr-Latn-RS"/>
        </w:rPr>
        <w:t xml:space="preserve"> za izradu ili podršku programa </w:t>
      </w:r>
      <w:r w:rsidRPr="001E34E3">
        <w:rPr>
          <w:rFonts w:ascii="Book Antiqua" w:hAnsi="Book Antiqua"/>
          <w:lang w:val="sr-Latn-RS"/>
        </w:rPr>
        <w:t>da</w:t>
      </w:r>
      <w:r w:rsidR="00B61F74" w:rsidRPr="001E34E3">
        <w:rPr>
          <w:rFonts w:ascii="Book Antiqua" w:hAnsi="Book Antiqua"/>
          <w:lang w:val="sr-Latn-RS"/>
        </w:rPr>
        <w:t xml:space="preserve"> izvršioci nasilja u porodici savladaju i usvoje nenasilno ponašanje u međuljudskim odnosima u pogledu promene obrazaca nasilnog ponašanja i u cilju sprečavanja ponavljanja krivičnog dela.</w:t>
      </w:r>
      <w:r w:rsidR="00284F7E" w:rsidRPr="001E34E3">
        <w:rPr>
          <w:rStyle w:val="FootnoteReference"/>
          <w:rFonts w:ascii="Book Antiqua" w:hAnsi="Book Antiqua"/>
          <w:lang w:val="sr-Latn-RS"/>
        </w:rPr>
        <w:footnoteReference w:id="34"/>
      </w:r>
      <w:r w:rsidRPr="001E34E3">
        <w:rPr>
          <w:rFonts w:ascii="Book Antiqua" w:hAnsi="Book Antiqua"/>
          <w:lang w:val="sr-Latn-RS"/>
        </w:rPr>
        <w:t xml:space="preserve"> Slično prepoznaje i </w:t>
      </w:r>
      <w:r w:rsidR="00B61F74" w:rsidRPr="001E34E3">
        <w:rPr>
          <w:rFonts w:ascii="Book Antiqua" w:hAnsi="Book Antiqua"/>
          <w:lang w:val="sr-Latn-RS"/>
        </w:rPr>
        <w:t>Preporuka o socijalnim merama</w:t>
      </w:r>
      <w:r w:rsidR="00284F7E" w:rsidRPr="001E34E3">
        <w:rPr>
          <w:rStyle w:val="FootnoteReference"/>
          <w:rFonts w:ascii="Book Antiqua" w:hAnsi="Book Antiqua"/>
          <w:lang w:val="sr-Latn-RS"/>
        </w:rPr>
        <w:footnoteReference w:id="35"/>
      </w:r>
      <w:r w:rsidR="00B61F74" w:rsidRPr="001E34E3">
        <w:rPr>
          <w:rFonts w:ascii="Book Antiqua" w:hAnsi="Book Antiqua"/>
          <w:lang w:val="sr-Latn-RS"/>
        </w:rPr>
        <w:t xml:space="preserve"> </w:t>
      </w:r>
      <w:r w:rsidR="00284F7E" w:rsidRPr="001E34E3">
        <w:rPr>
          <w:rFonts w:ascii="Book Antiqua" w:hAnsi="Book Antiqua"/>
          <w:lang w:val="sr-Latn-RS"/>
        </w:rPr>
        <w:t>koje se tiču nasilja u porodici</w:t>
      </w:r>
      <w:r w:rsidRPr="001E34E3">
        <w:rPr>
          <w:rFonts w:ascii="Book Antiqua" w:hAnsi="Book Antiqua"/>
          <w:lang w:val="sr-Latn-RS"/>
        </w:rPr>
        <w:t xml:space="preserve">, koja poziva države da organizuju ove programe kako bi podsticali počinioce nasilja da usvoje nenasilne obrasce ponašanja, pomažući im da postanu svesni svojih dela i prepoznaju svoju odgovornost. Cilj ovih programa je da pruže nasilniku mogućnost da učestvuje u </w:t>
      </w:r>
      <w:r w:rsidRPr="00F72EFF">
        <w:rPr>
          <w:rFonts w:ascii="Book Antiqua" w:hAnsi="Book Antiqua"/>
          <w:b/>
          <w:lang w:val="sr-Latn-RS"/>
        </w:rPr>
        <w:t>programu intervencije, ali ne kao alternativu zatvorskoj kazni, već kao dodatnu meru u cilju prevencije nasilja</w:t>
      </w:r>
      <w:r w:rsidRPr="001E34E3">
        <w:rPr>
          <w:rFonts w:ascii="Book Antiqua" w:hAnsi="Book Antiqua"/>
          <w:lang w:val="sr-Latn-RS"/>
        </w:rPr>
        <w:t xml:space="preserve">. Pored navedenih, značajna je i </w:t>
      </w:r>
      <w:r w:rsidR="00B61F74" w:rsidRPr="001E34E3">
        <w:rPr>
          <w:rFonts w:ascii="Book Antiqua" w:hAnsi="Book Antiqua"/>
          <w:lang w:val="sr-Latn-RS"/>
        </w:rPr>
        <w:t>Preporuka o zaštiti žena od nasilja</w:t>
      </w:r>
      <w:r w:rsidR="00284F7E" w:rsidRPr="001E34E3">
        <w:rPr>
          <w:rStyle w:val="FootnoteReference"/>
          <w:rFonts w:ascii="Book Antiqua" w:hAnsi="Book Antiqua"/>
          <w:lang w:val="sr-Latn-RS"/>
        </w:rPr>
        <w:footnoteReference w:id="36"/>
      </w:r>
      <w:r w:rsidRPr="001E34E3">
        <w:rPr>
          <w:rFonts w:ascii="Book Antiqua" w:hAnsi="Book Antiqua"/>
          <w:lang w:val="sr-Latn-RS"/>
        </w:rPr>
        <w:t>, koja</w:t>
      </w:r>
      <w:r w:rsidR="00B61F74" w:rsidRPr="001E34E3">
        <w:rPr>
          <w:rFonts w:ascii="Book Antiqua" w:hAnsi="Book Antiqua"/>
          <w:lang w:val="sr-Latn-RS"/>
        </w:rPr>
        <w:t xml:space="preserve"> </w:t>
      </w:r>
      <w:r w:rsidR="00284F7E" w:rsidRPr="001E34E3">
        <w:rPr>
          <w:rFonts w:ascii="Book Antiqua" w:hAnsi="Book Antiqua"/>
          <w:lang w:val="sr-Latn-RS"/>
        </w:rPr>
        <w:t xml:space="preserve">takođe </w:t>
      </w:r>
      <w:r w:rsidR="00B61F74" w:rsidRPr="001E34E3">
        <w:rPr>
          <w:rFonts w:ascii="Book Antiqua" w:hAnsi="Book Antiqua"/>
          <w:lang w:val="sr-Latn-RS"/>
        </w:rPr>
        <w:t>sadrži konkretne mere koje države treba da preduzmu a koj</w:t>
      </w:r>
      <w:r w:rsidR="00284F7E" w:rsidRPr="001E34E3">
        <w:rPr>
          <w:rFonts w:ascii="Book Antiqua" w:hAnsi="Book Antiqua"/>
          <w:lang w:val="sr-Latn-RS"/>
        </w:rPr>
        <w:t>e</w:t>
      </w:r>
      <w:r w:rsidR="00B61F74" w:rsidRPr="001E34E3">
        <w:rPr>
          <w:rFonts w:ascii="Book Antiqua" w:hAnsi="Book Antiqua"/>
          <w:lang w:val="sr-Latn-RS"/>
        </w:rPr>
        <w:t xml:space="preserve"> </w:t>
      </w:r>
      <w:r w:rsidR="00284F7E" w:rsidRPr="001E34E3">
        <w:rPr>
          <w:rFonts w:ascii="Book Antiqua" w:hAnsi="Book Antiqua"/>
          <w:lang w:val="sr-Latn-RS"/>
        </w:rPr>
        <w:t>s</w:t>
      </w:r>
      <w:r w:rsidR="00B61F74" w:rsidRPr="001E34E3">
        <w:rPr>
          <w:rFonts w:ascii="Book Antiqua" w:hAnsi="Book Antiqua"/>
          <w:lang w:val="sr-Latn-RS"/>
        </w:rPr>
        <w:t xml:space="preserve">e odnose na interventne programe </w:t>
      </w:r>
      <w:r w:rsidRPr="001E34E3">
        <w:rPr>
          <w:rFonts w:ascii="Book Antiqua" w:hAnsi="Book Antiqua"/>
          <w:lang w:val="sr-Latn-RS"/>
        </w:rPr>
        <w:t>za</w:t>
      </w:r>
      <w:r w:rsidR="00B61F74" w:rsidRPr="001E34E3">
        <w:rPr>
          <w:rFonts w:ascii="Book Antiqua" w:hAnsi="Book Antiqua"/>
          <w:lang w:val="sr-Latn-RS"/>
        </w:rPr>
        <w:t xml:space="preserve"> usvajanje nenasilnih obrazaca ponašanja, kroz prihvatanje odgovornosti za nasilan čin</w:t>
      </w:r>
      <w:r w:rsidRPr="001E34E3">
        <w:rPr>
          <w:rFonts w:ascii="Book Antiqua" w:hAnsi="Book Antiqua"/>
          <w:lang w:val="sr-Latn-RS"/>
        </w:rPr>
        <w:t>.</w:t>
      </w:r>
    </w:p>
    <w:p w:rsidR="00B61F74" w:rsidRDefault="008B143E" w:rsidP="00B61F74">
      <w:pPr>
        <w:jc w:val="both"/>
        <w:rPr>
          <w:rFonts w:ascii="Book Antiqua" w:hAnsi="Book Antiqua"/>
          <w:lang w:val="sr-Latn-RS"/>
        </w:rPr>
      </w:pPr>
      <w:r w:rsidRPr="008B143E">
        <w:rPr>
          <w:rFonts w:ascii="Book Antiqua" w:hAnsi="Book Antiqua"/>
          <w:lang w:val="sr-Latn-RS"/>
        </w:rPr>
        <w:t xml:space="preserve">U Republici Srbiji </w:t>
      </w:r>
      <w:r w:rsidR="00284F7E" w:rsidRPr="008B143E">
        <w:rPr>
          <w:rFonts w:ascii="Book Antiqua" w:hAnsi="Book Antiqua"/>
          <w:lang w:val="sr-Latn-RS"/>
        </w:rPr>
        <w:t xml:space="preserve">ovakav vid rada sa izvršiocima nasilja moguć </w:t>
      </w:r>
      <w:r w:rsidR="00C77D23">
        <w:rPr>
          <w:rFonts w:ascii="Book Antiqua" w:hAnsi="Book Antiqua"/>
          <w:lang w:val="sr-Latn-RS"/>
        </w:rPr>
        <w:t xml:space="preserve">je </w:t>
      </w:r>
      <w:r w:rsidR="00284F7E" w:rsidRPr="008B143E">
        <w:rPr>
          <w:rFonts w:ascii="Book Antiqua" w:hAnsi="Book Antiqua"/>
          <w:lang w:val="sr-Latn-RS"/>
        </w:rPr>
        <w:t xml:space="preserve">samo kao mera oportuniteta, odnosno kroz institut </w:t>
      </w:r>
      <w:r w:rsidR="00284F7E" w:rsidRPr="00F72EFF">
        <w:rPr>
          <w:rFonts w:ascii="Book Antiqua" w:hAnsi="Book Antiqua"/>
          <w:b/>
          <w:lang w:val="sr-Latn-RS"/>
        </w:rPr>
        <w:t>odlaganja krivičnog gonjenja</w:t>
      </w:r>
      <w:r w:rsidR="00284F7E" w:rsidRPr="008B143E">
        <w:rPr>
          <w:rFonts w:ascii="Book Antiqua" w:hAnsi="Book Antiqua"/>
          <w:lang w:val="sr-Latn-RS"/>
        </w:rPr>
        <w:t>, ali čak i u tim slučajevima se izuzetno retko primenjuje. Razlozi za retku primenu su nedovoljno poznavanje primene ove mere ali i nepostojanje adekvatne ustanove za sprovođenje ove mere.</w:t>
      </w:r>
      <w:r w:rsidR="00284F7E">
        <w:rPr>
          <w:rFonts w:ascii="Book Antiqua" w:hAnsi="Book Antiqua"/>
          <w:lang w:val="sr-Latn-RS"/>
        </w:rPr>
        <w:t xml:space="preserve"> </w:t>
      </w:r>
      <w:r w:rsidR="00B61F74" w:rsidRPr="00B61F74">
        <w:rPr>
          <w:rFonts w:ascii="Book Antiqua" w:hAnsi="Book Antiqua"/>
          <w:lang w:val="sr-Latn-RS"/>
        </w:rPr>
        <w:t xml:space="preserve"> </w:t>
      </w:r>
    </w:p>
    <w:p w:rsidR="00A37DE5" w:rsidRPr="00A37DE5" w:rsidRDefault="00A37DE5" w:rsidP="00DB5D10">
      <w:pPr>
        <w:ind w:right="4"/>
        <w:jc w:val="both"/>
        <w:rPr>
          <w:rFonts w:ascii="Book Antiqua" w:hAnsi="Book Antiqua"/>
          <w:lang w:val="sr-Latn-RS"/>
        </w:rPr>
      </w:pPr>
      <w:r w:rsidRPr="00A37DE5">
        <w:rPr>
          <w:rFonts w:ascii="Book Antiqua" w:hAnsi="Book Antiqua"/>
          <w:lang w:val="sr-Latn-RS"/>
        </w:rPr>
        <w:t>S druge strane, p</w:t>
      </w:r>
      <w:r w:rsidR="00B61F74" w:rsidRPr="00A37DE5">
        <w:rPr>
          <w:rFonts w:ascii="Book Antiqua" w:hAnsi="Book Antiqua"/>
          <w:lang w:val="sr-Latn-RS"/>
        </w:rPr>
        <w:t>otvrđenim Akcionim planom za poglavlje 23, u delu 3.6. Načelo nediskriminacije i položaj društveno ranjivih grupa, u tačkama 3.6.1.6.-3.6.1.22, predviđen je niz aktivnosti koje se država Sr</w:t>
      </w:r>
      <w:r w:rsidR="008B143E">
        <w:rPr>
          <w:rFonts w:ascii="Book Antiqua" w:hAnsi="Book Antiqua"/>
          <w:lang w:val="sr-Latn-RS"/>
        </w:rPr>
        <w:t xml:space="preserve">bija obavezala da će sprovesti. </w:t>
      </w:r>
      <w:r w:rsidRPr="00A37DE5">
        <w:rPr>
          <w:rFonts w:ascii="Book Antiqua" w:hAnsi="Book Antiqua"/>
          <w:lang w:val="sr-Latn-RS"/>
        </w:rPr>
        <w:t xml:space="preserve">Među ovim aktivnostima se nalazi i </w:t>
      </w:r>
      <w:r>
        <w:rPr>
          <w:rFonts w:ascii="Book Antiqua" w:hAnsi="Book Antiqua"/>
          <w:lang w:val="sr-Latn-RS"/>
        </w:rPr>
        <w:t>uspostavljanje „</w:t>
      </w:r>
      <w:r w:rsidRPr="00A37DE5">
        <w:rPr>
          <w:rFonts w:ascii="Book Antiqua" w:hAnsi="Book Antiqua"/>
          <w:lang w:val="sr-Latn-RS"/>
        </w:rPr>
        <w:t>program</w:t>
      </w:r>
      <w:r>
        <w:rPr>
          <w:rFonts w:ascii="Book Antiqua" w:hAnsi="Book Antiqua"/>
          <w:lang w:val="sr-Latn-RS"/>
        </w:rPr>
        <w:t>a</w:t>
      </w:r>
      <w:r w:rsidRPr="00A37DE5">
        <w:rPr>
          <w:rFonts w:ascii="Book Antiqua" w:hAnsi="Book Antiqua"/>
          <w:lang w:val="sr-Latn-RS"/>
        </w:rPr>
        <w:t xml:space="preserve"> tretmana počinilaca, posebno počinilaca seksualnog nasilja u cilju sprečavanja povratništva, kao i uspostavljanje multi sektorske saradnje i saradnje sa organizacijama civilnog društva</w:t>
      </w:r>
      <w:r w:rsidRPr="007C327E">
        <w:rPr>
          <w:rFonts w:ascii="Book Antiqua" w:hAnsi="Book Antiqua"/>
          <w:lang w:val="sr-Latn-RS"/>
        </w:rPr>
        <w:t xml:space="preserve">“ – tačka </w:t>
      </w:r>
      <w:r w:rsidR="00DB5D10" w:rsidRPr="007C327E">
        <w:rPr>
          <w:rFonts w:ascii="Book Antiqua" w:hAnsi="Book Antiqua"/>
          <w:lang w:val="sr-Latn-RS"/>
        </w:rPr>
        <w:t>3.6.1.8</w:t>
      </w:r>
      <w:r w:rsidR="00F72EFF" w:rsidRPr="007C327E">
        <w:rPr>
          <w:rStyle w:val="FootnoteReference"/>
          <w:rFonts w:ascii="Book Antiqua" w:hAnsi="Book Antiqua"/>
          <w:lang w:val="sr-Latn-RS"/>
        </w:rPr>
        <w:footnoteReference w:id="37"/>
      </w:r>
      <w:r w:rsidR="00DB5D10" w:rsidRPr="007C327E">
        <w:rPr>
          <w:rFonts w:ascii="Book Antiqua" w:hAnsi="Book Antiqua"/>
          <w:lang w:val="sr-Latn-RS"/>
        </w:rPr>
        <w:t>.</w:t>
      </w:r>
      <w:r w:rsidR="00DB5D10">
        <w:rPr>
          <w:rFonts w:ascii="Book Antiqua" w:hAnsi="Book Antiqua"/>
          <w:lang w:val="sr-Latn-RS"/>
        </w:rPr>
        <w:t xml:space="preserve"> </w:t>
      </w:r>
    </w:p>
    <w:p w:rsidR="00F72EFF" w:rsidRDefault="00F72EFF">
      <w:pPr>
        <w:rPr>
          <w:rFonts w:ascii="Book Antiqua" w:eastAsiaTheme="majorEastAsia" w:hAnsi="Book Antiqua" w:cstheme="majorBidi"/>
          <w:b/>
          <w:bCs/>
          <w:color w:val="000000" w:themeColor="text1"/>
          <w:sz w:val="24"/>
          <w:szCs w:val="24"/>
          <w:lang w:val="sr-Latn-RS"/>
        </w:rPr>
      </w:pPr>
      <w:r>
        <w:rPr>
          <w:rFonts w:ascii="Book Antiqua" w:hAnsi="Book Antiqua"/>
          <w:color w:val="000000" w:themeColor="text1"/>
          <w:sz w:val="24"/>
          <w:szCs w:val="24"/>
          <w:lang w:val="sr-Latn-RS"/>
        </w:rPr>
        <w:br w:type="page"/>
      </w:r>
    </w:p>
    <w:p w:rsidR="000449D0" w:rsidRDefault="000449D0" w:rsidP="000449D0">
      <w:pPr>
        <w:pStyle w:val="Heading1"/>
        <w:numPr>
          <w:ilvl w:val="0"/>
          <w:numId w:val="4"/>
        </w:numPr>
        <w:jc w:val="center"/>
        <w:rPr>
          <w:rFonts w:ascii="Book Antiqua" w:hAnsi="Book Antiqua"/>
          <w:color w:val="000000" w:themeColor="text1"/>
          <w:sz w:val="24"/>
          <w:szCs w:val="24"/>
          <w:lang w:val="sr-Latn-RS"/>
        </w:rPr>
      </w:pPr>
      <w:r w:rsidRPr="000449D0">
        <w:rPr>
          <w:rFonts w:ascii="Book Antiqua" w:hAnsi="Book Antiqua"/>
          <w:color w:val="000000" w:themeColor="text1"/>
          <w:sz w:val="24"/>
          <w:szCs w:val="24"/>
          <w:lang w:val="sr-Latn-RS"/>
        </w:rPr>
        <w:t>GRAĐANSKOPRAVNA ZAŠTITA DETETA OD NASILJA, ZLOSTAVLJANJA I ZANEMARIVANJA</w:t>
      </w:r>
    </w:p>
    <w:p w:rsidR="003507B2" w:rsidRDefault="003507B2" w:rsidP="006A5C5B">
      <w:pPr>
        <w:spacing w:line="240" w:lineRule="auto"/>
        <w:jc w:val="both"/>
        <w:rPr>
          <w:rFonts w:ascii="Book Antiqua" w:hAnsi="Book Antiqua"/>
          <w:highlight w:val="cyan"/>
          <w:lang w:val="sr-Latn-RS"/>
        </w:rPr>
      </w:pPr>
    </w:p>
    <w:p w:rsidR="006A5C5B" w:rsidRDefault="006A5C5B" w:rsidP="006A5C5B">
      <w:pPr>
        <w:spacing w:line="240" w:lineRule="auto"/>
        <w:jc w:val="both"/>
        <w:rPr>
          <w:rFonts w:ascii="Book Antiqua" w:hAnsi="Book Antiqua"/>
          <w:lang w:val="sr-Latn-RS"/>
        </w:rPr>
      </w:pPr>
      <w:r w:rsidRPr="006D1F22">
        <w:rPr>
          <w:rFonts w:ascii="Book Antiqua" w:hAnsi="Book Antiqua"/>
          <w:b/>
          <w:lang w:val="sr-Latn-RS"/>
        </w:rPr>
        <w:t xml:space="preserve">Konvencija </w:t>
      </w:r>
      <w:r w:rsidR="00F72EFF" w:rsidRPr="006D1F22">
        <w:rPr>
          <w:rFonts w:ascii="Book Antiqua" w:hAnsi="Book Antiqua"/>
          <w:b/>
          <w:lang w:val="sr-Latn-RS"/>
        </w:rPr>
        <w:t>o pravima deteta</w:t>
      </w:r>
      <w:r w:rsidR="00F72EFF" w:rsidRPr="006D1F22">
        <w:rPr>
          <w:rFonts w:ascii="Book Antiqua" w:hAnsi="Book Antiqua"/>
          <w:lang w:val="sr-Latn-RS"/>
        </w:rPr>
        <w:t xml:space="preserve"> </w:t>
      </w:r>
      <w:r w:rsidRPr="006D1F22">
        <w:rPr>
          <w:rFonts w:ascii="Book Antiqua" w:hAnsi="Book Antiqua"/>
          <w:lang w:val="sr-Latn-RS"/>
        </w:rPr>
        <w:t xml:space="preserve">predviđa </w:t>
      </w:r>
      <w:r w:rsidR="00F72EFF" w:rsidRPr="006D1F22">
        <w:rPr>
          <w:rFonts w:ascii="Book Antiqua" w:hAnsi="Book Antiqua"/>
          <w:lang w:val="sr-Latn-RS"/>
        </w:rPr>
        <w:t xml:space="preserve">obavezu </w:t>
      </w:r>
      <w:r w:rsidRPr="006D1F22">
        <w:rPr>
          <w:rFonts w:ascii="Book Antiqua" w:hAnsi="Book Antiqua"/>
          <w:lang w:val="sr-Latn-RS"/>
        </w:rPr>
        <w:t>preduz</w:t>
      </w:r>
      <w:r w:rsidR="00F72EFF" w:rsidRPr="006D1F22">
        <w:rPr>
          <w:rFonts w:ascii="Book Antiqua" w:hAnsi="Book Antiqua"/>
          <w:lang w:val="sr-Latn-RS"/>
        </w:rPr>
        <w:t>imanja</w:t>
      </w:r>
      <w:r w:rsidRPr="006D1F22">
        <w:rPr>
          <w:rFonts w:ascii="Book Antiqua" w:hAnsi="Book Antiqua"/>
          <w:lang w:val="sr-Latn-RS"/>
        </w:rPr>
        <w:t xml:space="preserve"> sv</w:t>
      </w:r>
      <w:r w:rsidR="00F72EFF" w:rsidRPr="006D1F22">
        <w:rPr>
          <w:rFonts w:ascii="Book Antiqua" w:hAnsi="Book Antiqua"/>
          <w:lang w:val="sr-Latn-RS"/>
        </w:rPr>
        <w:t>ih</w:t>
      </w:r>
      <w:r w:rsidRPr="006D1F22">
        <w:rPr>
          <w:rFonts w:ascii="Book Antiqua" w:hAnsi="Book Antiqua"/>
          <w:lang w:val="sr-Latn-RS"/>
        </w:rPr>
        <w:t xml:space="preserve"> odgovarajuć</w:t>
      </w:r>
      <w:r w:rsidR="00F72EFF" w:rsidRPr="006D1F22">
        <w:rPr>
          <w:rFonts w:ascii="Book Antiqua" w:hAnsi="Book Antiqua"/>
          <w:lang w:val="sr-Latn-RS"/>
        </w:rPr>
        <w:t>ih zakonodavnih</w:t>
      </w:r>
      <w:r w:rsidRPr="006D1F22">
        <w:rPr>
          <w:rFonts w:ascii="Book Antiqua" w:hAnsi="Book Antiqua"/>
          <w:lang w:val="sr-Latn-RS"/>
        </w:rPr>
        <w:t>, administrativn</w:t>
      </w:r>
      <w:r w:rsidR="00F72EFF" w:rsidRPr="006D1F22">
        <w:rPr>
          <w:rFonts w:ascii="Book Antiqua" w:hAnsi="Book Antiqua"/>
          <w:lang w:val="sr-Latn-RS"/>
        </w:rPr>
        <w:t>ih</w:t>
      </w:r>
      <w:r w:rsidRPr="006D1F22">
        <w:rPr>
          <w:rFonts w:ascii="Book Antiqua" w:hAnsi="Book Antiqua"/>
          <w:lang w:val="sr-Latn-RS"/>
        </w:rPr>
        <w:t>, socijaln</w:t>
      </w:r>
      <w:r w:rsidR="00F72EFF" w:rsidRPr="006D1F22">
        <w:rPr>
          <w:rFonts w:ascii="Book Antiqua" w:hAnsi="Book Antiqua"/>
          <w:lang w:val="sr-Latn-RS"/>
        </w:rPr>
        <w:t>ih i obrazovnih</w:t>
      </w:r>
      <w:r w:rsidRPr="006D1F22">
        <w:rPr>
          <w:rFonts w:ascii="Book Antiqua" w:hAnsi="Book Antiqua"/>
          <w:lang w:val="sr-Latn-RS"/>
        </w:rPr>
        <w:t xml:space="preserve"> mer</w:t>
      </w:r>
      <w:r w:rsidR="00F72EFF" w:rsidRPr="006D1F22">
        <w:rPr>
          <w:rFonts w:ascii="Book Antiqua" w:hAnsi="Book Antiqua"/>
          <w:lang w:val="sr-Latn-RS"/>
        </w:rPr>
        <w:t>a</w:t>
      </w:r>
      <w:r w:rsidRPr="006D1F22">
        <w:rPr>
          <w:rFonts w:ascii="Book Antiqua" w:hAnsi="Book Antiqua"/>
          <w:lang w:val="sr-Latn-RS"/>
        </w:rPr>
        <w:t xml:space="preserve"> radi zaštite deteta od svih oblika fizičkog ili mentalnog nasilja, povreda ili zloupotrebe, zanemarivanja ili nemarnog odnosa, maltretiranja ili eksploatacije, uključujući i seksualnu zloupotrebu, dok je na brizi kod roditelja, zakonitih staratelja ili nekog drugog lica kome je poverena briga o detetu.</w:t>
      </w:r>
      <w:r w:rsidRPr="006D1F22">
        <w:rPr>
          <w:rStyle w:val="FootnoteReference"/>
          <w:rFonts w:ascii="Book Antiqua" w:hAnsi="Book Antiqua"/>
          <w:lang w:val="sr-Latn-RS"/>
        </w:rPr>
        <w:footnoteReference w:id="38"/>
      </w:r>
      <w:r w:rsidR="006D1F22" w:rsidRPr="006D1F22">
        <w:rPr>
          <w:rFonts w:ascii="Book Antiqua" w:hAnsi="Book Antiqua"/>
          <w:lang w:val="sr-Latn-RS"/>
        </w:rPr>
        <w:t xml:space="preserve"> Navedene mere bi trebalo da obuhvate</w:t>
      </w:r>
      <w:r w:rsidRPr="006D1F22">
        <w:rPr>
          <w:rFonts w:ascii="Book Antiqua" w:hAnsi="Book Antiqua"/>
          <w:lang w:val="sr-Latn-RS"/>
        </w:rPr>
        <w:t xml:space="preserve">  efikasne postupke za ustanovljavanje socijalnih programa za obezbeđenje podrške </w:t>
      </w:r>
      <w:r w:rsidR="006D1F22" w:rsidRPr="006D1F22">
        <w:rPr>
          <w:rFonts w:ascii="Book Antiqua" w:hAnsi="Book Antiqua"/>
          <w:lang w:val="sr-Latn-RS"/>
        </w:rPr>
        <w:t xml:space="preserve">koja je </w:t>
      </w:r>
      <w:r w:rsidRPr="006D1F22">
        <w:rPr>
          <w:rFonts w:ascii="Book Antiqua" w:hAnsi="Book Antiqua"/>
          <w:lang w:val="sr-Latn-RS"/>
        </w:rPr>
        <w:t>neophodn</w:t>
      </w:r>
      <w:r w:rsidR="006D1F22" w:rsidRPr="006D1F22">
        <w:rPr>
          <w:rFonts w:ascii="Book Antiqua" w:hAnsi="Book Antiqua"/>
          <w:lang w:val="sr-Latn-RS"/>
        </w:rPr>
        <w:t>a</w:t>
      </w:r>
      <w:r w:rsidRPr="006D1F22">
        <w:rPr>
          <w:rFonts w:ascii="Book Antiqua" w:hAnsi="Book Antiqua"/>
          <w:lang w:val="sr-Latn-RS"/>
        </w:rPr>
        <w:t xml:space="preserve"> detetu i onima kojima je poverena briga o detetu, kao i ostale oblike sprečavanja, utvrđivanja, prijavljivanja, prosleđivanja, istrage, postupanja i praćenja slučajeva ovde navedenog zlostavljanja deteta i, po potrebi, obraćanja sudu.</w:t>
      </w:r>
      <w:r w:rsidRPr="006D1F22">
        <w:rPr>
          <w:rStyle w:val="FootnoteReference"/>
          <w:rFonts w:ascii="Book Antiqua" w:hAnsi="Book Antiqua"/>
          <w:lang w:val="sr-Latn-RS"/>
        </w:rPr>
        <w:footnoteReference w:id="39"/>
      </w:r>
    </w:p>
    <w:p w:rsidR="006A5C5B" w:rsidRDefault="006A5C5B" w:rsidP="006A5C5B">
      <w:pPr>
        <w:spacing w:line="240" w:lineRule="auto"/>
        <w:jc w:val="both"/>
        <w:rPr>
          <w:rFonts w:ascii="Book Antiqua" w:hAnsi="Book Antiqua"/>
          <w:lang w:val="sr-Latn-RS"/>
        </w:rPr>
      </w:pPr>
      <w:r w:rsidRPr="008E1841">
        <w:rPr>
          <w:rFonts w:ascii="Book Antiqua" w:hAnsi="Book Antiqua"/>
          <w:b/>
          <w:lang w:val="sr-Latn-RS"/>
        </w:rPr>
        <w:t>Ustav Republike Srbije</w:t>
      </w:r>
      <w:r>
        <w:rPr>
          <w:rFonts w:ascii="Book Antiqua" w:hAnsi="Book Antiqua"/>
          <w:lang w:val="sr-Latn-RS"/>
        </w:rPr>
        <w:t xml:space="preserve"> predviđa da d</w:t>
      </w:r>
      <w:r w:rsidRPr="002C13AD">
        <w:rPr>
          <w:rFonts w:ascii="Book Antiqua" w:hAnsi="Book Antiqua"/>
          <w:lang w:val="sr-Latn-RS"/>
        </w:rPr>
        <w:t>eca uživaju ljudska prava primereno sv</w:t>
      </w:r>
      <w:r>
        <w:rPr>
          <w:rFonts w:ascii="Book Antiqua" w:hAnsi="Book Antiqua"/>
          <w:lang w:val="sr-Latn-RS"/>
        </w:rPr>
        <w:t>om uzrastu i duševnoj zrelosti, da s</w:t>
      </w:r>
      <w:r w:rsidRPr="002C13AD">
        <w:rPr>
          <w:rFonts w:ascii="Book Antiqua" w:hAnsi="Book Antiqua"/>
          <w:lang w:val="sr-Latn-RS"/>
        </w:rPr>
        <w:t>vako dete ima pravo na lično ime, upis u matičnu knjigu rođenih, pravo da sazna svoje poreklo i pravo da očuva svoj identitet</w:t>
      </w:r>
      <w:r>
        <w:rPr>
          <w:rFonts w:ascii="Book Antiqua" w:hAnsi="Book Antiqua"/>
          <w:lang w:val="sr-Latn-RS"/>
        </w:rPr>
        <w:t>, dalje navodi da su d</w:t>
      </w:r>
      <w:r w:rsidRPr="002C13AD">
        <w:rPr>
          <w:rFonts w:ascii="Book Antiqua" w:hAnsi="Book Antiqua"/>
          <w:lang w:val="sr-Latn-RS"/>
        </w:rPr>
        <w:t>eca zaštićena od psihičkog, fizičkog, ekonomskog i svakog drugog iskorišćav</w:t>
      </w:r>
      <w:r>
        <w:rPr>
          <w:rFonts w:ascii="Book Antiqua" w:hAnsi="Book Antiqua"/>
          <w:lang w:val="sr-Latn-RS"/>
        </w:rPr>
        <w:t>anja ili zloupotrebljavanja, kao i da d</w:t>
      </w:r>
      <w:r w:rsidRPr="002C13AD">
        <w:rPr>
          <w:rFonts w:ascii="Book Antiqua" w:hAnsi="Book Antiqua"/>
          <w:lang w:val="sr-Latn-RS"/>
        </w:rPr>
        <w:t>eca rođena izvan braka imaju jednaka prava kao deca rođena u braku.</w:t>
      </w:r>
      <w:r>
        <w:rPr>
          <w:rStyle w:val="FootnoteReference"/>
          <w:rFonts w:ascii="Book Antiqua" w:hAnsi="Book Antiqua"/>
          <w:lang w:val="sr-Latn-RS"/>
        </w:rPr>
        <w:footnoteReference w:id="40"/>
      </w:r>
      <w:r w:rsidRPr="002C13AD">
        <w:rPr>
          <w:rFonts w:ascii="Book Antiqua" w:hAnsi="Book Antiqua"/>
          <w:lang w:val="sr-Latn-RS"/>
        </w:rPr>
        <w:t xml:space="preserve"> Prava deteta i njihova zaštita uređuju se zakonom.</w:t>
      </w:r>
      <w:r>
        <w:rPr>
          <w:rStyle w:val="FootnoteReference"/>
          <w:rFonts w:ascii="Book Antiqua" w:hAnsi="Book Antiqua"/>
          <w:lang w:val="sr-Latn-RS"/>
        </w:rPr>
        <w:footnoteReference w:id="41"/>
      </w:r>
    </w:p>
    <w:p w:rsidR="006A5C5B" w:rsidRDefault="006A5C5B" w:rsidP="006A5C5B">
      <w:pPr>
        <w:spacing w:line="240" w:lineRule="auto"/>
        <w:jc w:val="both"/>
        <w:rPr>
          <w:rFonts w:ascii="Book Antiqua" w:hAnsi="Book Antiqua"/>
          <w:lang w:val="sr-Latn-RS"/>
        </w:rPr>
      </w:pPr>
      <w:r w:rsidRPr="008E1841">
        <w:rPr>
          <w:rFonts w:ascii="Book Antiqua" w:hAnsi="Book Antiqua"/>
          <w:b/>
          <w:lang w:val="sr-Latn-RS"/>
        </w:rPr>
        <w:t>Porodični zakon</w:t>
      </w:r>
      <w:r w:rsidRPr="002C13AD">
        <w:t xml:space="preserve"> </w:t>
      </w:r>
      <w:r w:rsidRPr="002C13AD">
        <w:rPr>
          <w:rFonts w:ascii="Book Antiqua" w:hAnsi="Book Antiqua"/>
          <w:lang w:val="sr-Latn-RS"/>
        </w:rPr>
        <w:t>uređu</w:t>
      </w:r>
      <w:r>
        <w:rPr>
          <w:rFonts w:ascii="Book Antiqua" w:hAnsi="Book Antiqua"/>
          <w:lang w:val="sr-Latn-RS"/>
        </w:rPr>
        <w:t>je</w:t>
      </w:r>
      <w:r w:rsidRPr="002C13AD">
        <w:rPr>
          <w:rFonts w:ascii="Book Antiqua" w:hAnsi="Book Antiqua"/>
          <w:lang w:val="sr-Latn-RS"/>
        </w:rPr>
        <w:t xml:space="preserve"> brak i odnos</w:t>
      </w:r>
      <w:r>
        <w:rPr>
          <w:rFonts w:ascii="Book Antiqua" w:hAnsi="Book Antiqua"/>
          <w:lang w:val="sr-Latn-RS"/>
        </w:rPr>
        <w:t>e u braku, odnose</w:t>
      </w:r>
      <w:r w:rsidRPr="002C13AD">
        <w:rPr>
          <w:rFonts w:ascii="Book Antiqua" w:hAnsi="Book Antiqua"/>
          <w:lang w:val="sr-Latn-RS"/>
        </w:rPr>
        <w:t xml:space="preserve"> u vanbračnoj zajednici, odnos</w:t>
      </w:r>
      <w:r>
        <w:rPr>
          <w:rFonts w:ascii="Book Antiqua" w:hAnsi="Book Antiqua"/>
          <w:lang w:val="sr-Latn-RS"/>
        </w:rPr>
        <w:t>e</w:t>
      </w:r>
      <w:r w:rsidRPr="002C13AD">
        <w:rPr>
          <w:rFonts w:ascii="Book Antiqua" w:hAnsi="Book Antiqua"/>
          <w:lang w:val="sr-Latn-RS"/>
        </w:rPr>
        <w:t xml:space="preserve"> deteta i roditelja, usvojenje, hraniteljstvo, stara</w:t>
      </w:r>
      <w:r>
        <w:rPr>
          <w:rFonts w:ascii="Book Antiqua" w:hAnsi="Book Antiqua"/>
          <w:lang w:val="sr-Latn-RS"/>
        </w:rPr>
        <w:t>teljstvo, izdržavanje, imovinske</w:t>
      </w:r>
      <w:r w:rsidRPr="002C13AD">
        <w:rPr>
          <w:rFonts w:ascii="Book Antiqua" w:hAnsi="Book Antiqua"/>
          <w:lang w:val="sr-Latn-RS"/>
        </w:rPr>
        <w:t xml:space="preserve"> odnos</w:t>
      </w:r>
      <w:r>
        <w:rPr>
          <w:rFonts w:ascii="Book Antiqua" w:hAnsi="Book Antiqua"/>
          <w:lang w:val="sr-Latn-RS"/>
        </w:rPr>
        <w:t>e</w:t>
      </w:r>
      <w:r w:rsidRPr="002C13AD">
        <w:rPr>
          <w:rFonts w:ascii="Book Antiqua" w:hAnsi="Book Antiqua"/>
          <w:lang w:val="sr-Latn-RS"/>
        </w:rPr>
        <w:t xml:space="preserve"> u porodici, zaštit</w:t>
      </w:r>
      <w:r>
        <w:rPr>
          <w:rFonts w:ascii="Book Antiqua" w:hAnsi="Book Antiqua"/>
          <w:lang w:val="sr-Latn-RS"/>
        </w:rPr>
        <w:t>u</w:t>
      </w:r>
      <w:r w:rsidRPr="002C13AD">
        <w:rPr>
          <w:rFonts w:ascii="Book Antiqua" w:hAnsi="Book Antiqua"/>
          <w:lang w:val="sr-Latn-RS"/>
        </w:rPr>
        <w:t xml:space="preserve"> od nasilja u porodici, postup</w:t>
      </w:r>
      <w:r>
        <w:rPr>
          <w:rFonts w:ascii="Book Antiqua" w:hAnsi="Book Antiqua"/>
          <w:lang w:val="sr-Latn-RS"/>
        </w:rPr>
        <w:t>ke</w:t>
      </w:r>
      <w:r w:rsidRPr="002C13AD">
        <w:rPr>
          <w:rFonts w:ascii="Book Antiqua" w:hAnsi="Book Antiqua"/>
          <w:lang w:val="sr-Latn-RS"/>
        </w:rPr>
        <w:t xml:space="preserve"> u vezi sa porodičnim odnosima i lično ime.</w:t>
      </w:r>
      <w:r>
        <w:rPr>
          <w:rStyle w:val="FootnoteReference"/>
          <w:rFonts w:ascii="Book Antiqua" w:hAnsi="Book Antiqua"/>
          <w:lang w:val="sr-Latn-RS"/>
        </w:rPr>
        <w:footnoteReference w:id="42"/>
      </w:r>
      <w:r>
        <w:rPr>
          <w:rFonts w:ascii="Book Antiqua" w:hAnsi="Book Antiqua"/>
          <w:lang w:val="sr-Latn-RS"/>
        </w:rPr>
        <w:t xml:space="preserve"> Dalje, predviđa da je s</w:t>
      </w:r>
      <w:r w:rsidRPr="002C13AD">
        <w:rPr>
          <w:rFonts w:ascii="Book Antiqua" w:hAnsi="Book Antiqua"/>
          <w:lang w:val="sr-Latn-RS"/>
        </w:rPr>
        <w:t>vako dužan da se rukovodi najboljim interesom deteta u svim a</w:t>
      </w:r>
      <w:r>
        <w:rPr>
          <w:rFonts w:ascii="Book Antiqua" w:hAnsi="Book Antiqua"/>
          <w:lang w:val="sr-Latn-RS"/>
        </w:rPr>
        <w:t>ktivnostima koje se tiču deteta, da d</w:t>
      </w:r>
      <w:r w:rsidRPr="002C13AD">
        <w:rPr>
          <w:rFonts w:ascii="Book Antiqua" w:hAnsi="Book Antiqua"/>
          <w:lang w:val="sr-Latn-RS"/>
        </w:rPr>
        <w:t>ržava ima obavezu da preduzima sve potrebne mere za zaštitu deteta od zanemarivanja, od fizičkog, seksualnog i emocionalnog zlostavljanja te o</w:t>
      </w:r>
      <w:r>
        <w:rPr>
          <w:rFonts w:ascii="Book Antiqua" w:hAnsi="Book Antiqua"/>
          <w:lang w:val="sr-Latn-RS"/>
        </w:rPr>
        <w:t>d svake vrste eksploatacije, da d</w:t>
      </w:r>
      <w:r w:rsidRPr="002C13AD">
        <w:rPr>
          <w:rFonts w:ascii="Book Antiqua" w:hAnsi="Book Antiqua"/>
          <w:lang w:val="sr-Latn-RS"/>
        </w:rPr>
        <w:t>ržava ima obavezu da poštuje, štiti i unapređuje prava deteta</w:t>
      </w:r>
      <w:r>
        <w:rPr>
          <w:rFonts w:ascii="Book Antiqua" w:hAnsi="Book Antiqua"/>
          <w:lang w:val="sr-Latn-RS"/>
        </w:rPr>
        <w:t>, da</w:t>
      </w:r>
      <w:r w:rsidRPr="002C13AD">
        <w:rPr>
          <w:rFonts w:ascii="Book Antiqua" w:hAnsi="Book Antiqua"/>
          <w:lang w:val="sr-Latn-RS"/>
        </w:rPr>
        <w:t xml:space="preserve"> </w:t>
      </w:r>
      <w:r>
        <w:rPr>
          <w:rFonts w:ascii="Book Antiqua" w:hAnsi="Book Antiqua"/>
          <w:lang w:val="sr-Latn-RS"/>
        </w:rPr>
        <w:t>d</w:t>
      </w:r>
      <w:r w:rsidRPr="002C13AD">
        <w:rPr>
          <w:rFonts w:ascii="Book Antiqua" w:hAnsi="Book Antiqua"/>
          <w:lang w:val="sr-Latn-RS"/>
        </w:rPr>
        <w:t>ete rođeno van braka ima jednaka prava kao dete rođeno u braku</w:t>
      </w:r>
      <w:r>
        <w:rPr>
          <w:rFonts w:ascii="Book Antiqua" w:hAnsi="Book Antiqua"/>
          <w:lang w:val="sr-Latn-RS"/>
        </w:rPr>
        <w:t>, a u</w:t>
      </w:r>
      <w:r w:rsidRPr="002C13AD">
        <w:rPr>
          <w:rFonts w:ascii="Book Antiqua" w:hAnsi="Book Antiqua"/>
          <w:lang w:val="sr-Latn-RS"/>
        </w:rPr>
        <w:t>svojeno dete ima jednaka prava prema usvojiteljima kao dete prema roditeljima</w:t>
      </w:r>
      <w:r>
        <w:rPr>
          <w:rFonts w:ascii="Book Antiqua" w:hAnsi="Book Antiqua"/>
          <w:lang w:val="sr-Latn-RS"/>
        </w:rPr>
        <w:t>, kao i da</w:t>
      </w:r>
      <w:r w:rsidRPr="002C13AD">
        <w:rPr>
          <w:rFonts w:ascii="Book Antiqua" w:hAnsi="Book Antiqua"/>
          <w:lang w:val="sr-Latn-RS"/>
        </w:rPr>
        <w:t xml:space="preserve"> </w:t>
      </w:r>
      <w:r>
        <w:rPr>
          <w:rFonts w:ascii="Book Antiqua" w:hAnsi="Book Antiqua"/>
          <w:lang w:val="sr-Latn-RS"/>
        </w:rPr>
        <w:t>je d</w:t>
      </w:r>
      <w:r w:rsidRPr="002C13AD">
        <w:rPr>
          <w:rFonts w:ascii="Book Antiqua" w:hAnsi="Book Antiqua"/>
          <w:lang w:val="sr-Latn-RS"/>
        </w:rPr>
        <w:t>ržava dužna da detetu bez roditeljskog staranja obezbedi zaštitu u porodičnoj sredini uvek kada je to moguće.</w:t>
      </w:r>
      <w:r>
        <w:rPr>
          <w:rStyle w:val="FootnoteReference"/>
          <w:rFonts w:ascii="Book Antiqua" w:hAnsi="Book Antiqua"/>
          <w:lang w:val="sr-Latn-RS"/>
        </w:rPr>
        <w:footnoteReference w:id="43"/>
      </w:r>
      <w:r>
        <w:rPr>
          <w:rFonts w:ascii="Book Antiqua" w:hAnsi="Book Antiqua"/>
          <w:lang w:val="sr-Latn-RS"/>
        </w:rPr>
        <w:t xml:space="preserve"> </w:t>
      </w:r>
    </w:p>
    <w:p w:rsidR="00AD72A1" w:rsidRDefault="0009689E" w:rsidP="00CE1653">
      <w:pPr>
        <w:spacing w:line="240" w:lineRule="auto"/>
        <w:jc w:val="both"/>
        <w:rPr>
          <w:rFonts w:ascii="Book Antiqua" w:hAnsi="Book Antiqua"/>
          <w:lang w:val="sr-Latn-RS"/>
        </w:rPr>
      </w:pPr>
      <w:r w:rsidRPr="0009689E">
        <w:rPr>
          <w:rFonts w:ascii="Book Antiqua" w:hAnsi="Book Antiqua"/>
          <w:lang w:val="sr-Latn-RS"/>
        </w:rPr>
        <w:t xml:space="preserve">Iako </w:t>
      </w:r>
      <w:r w:rsidR="006D1F22">
        <w:rPr>
          <w:rFonts w:ascii="Book Antiqua" w:hAnsi="Book Antiqua"/>
          <w:lang w:val="sr-Latn-RS"/>
        </w:rPr>
        <w:t>ovaj</w:t>
      </w:r>
      <w:r w:rsidRPr="0009689E">
        <w:rPr>
          <w:rFonts w:ascii="Book Antiqua" w:hAnsi="Book Antiqua"/>
          <w:lang w:val="sr-Latn-RS"/>
        </w:rPr>
        <w:t xml:space="preserve"> zakon uvažava pravo na participaciju deteta i ustanovljava načelo najboljeg interesa deteta, </w:t>
      </w:r>
      <w:r>
        <w:rPr>
          <w:rFonts w:ascii="Book Antiqua" w:hAnsi="Book Antiqua"/>
          <w:lang w:val="sr-Latn-RS"/>
        </w:rPr>
        <w:t xml:space="preserve">ipak </w:t>
      </w:r>
      <w:r w:rsidRPr="0009689E">
        <w:rPr>
          <w:rFonts w:ascii="Book Antiqua" w:hAnsi="Book Antiqua"/>
          <w:lang w:val="sr-Latn-RS"/>
        </w:rPr>
        <w:t xml:space="preserve">ne sadrži sve principe </w:t>
      </w:r>
      <w:r>
        <w:rPr>
          <w:rFonts w:ascii="Book Antiqua" w:hAnsi="Book Antiqua"/>
          <w:lang w:val="sr-Latn-RS"/>
        </w:rPr>
        <w:t>proklamovane</w:t>
      </w:r>
      <w:r w:rsidRPr="0009689E">
        <w:rPr>
          <w:rFonts w:ascii="Book Antiqua" w:hAnsi="Book Antiqua"/>
          <w:lang w:val="sr-Latn-RS"/>
        </w:rPr>
        <w:t xml:space="preserve"> Konvencij</w:t>
      </w:r>
      <w:r>
        <w:rPr>
          <w:rFonts w:ascii="Book Antiqua" w:hAnsi="Book Antiqua"/>
          <w:lang w:val="sr-Latn-RS"/>
        </w:rPr>
        <w:t>om</w:t>
      </w:r>
      <w:r w:rsidRPr="0009689E">
        <w:rPr>
          <w:rFonts w:ascii="Book Antiqua" w:hAnsi="Book Antiqua"/>
          <w:lang w:val="sr-Latn-RS"/>
        </w:rPr>
        <w:t xml:space="preserve"> o pravima deteta. </w:t>
      </w:r>
      <w:r w:rsidR="00CE1653">
        <w:rPr>
          <w:rFonts w:ascii="Book Antiqua" w:hAnsi="Book Antiqua"/>
          <w:lang w:val="sr-Latn-RS"/>
        </w:rPr>
        <w:t xml:space="preserve">Kao obaveza propisana </w:t>
      </w:r>
      <w:r>
        <w:rPr>
          <w:rFonts w:ascii="Book Antiqua" w:hAnsi="Book Antiqua"/>
          <w:lang w:val="sr-Latn-RS"/>
        </w:rPr>
        <w:t xml:space="preserve">Porodičnim zakonom </w:t>
      </w:r>
      <w:r w:rsidR="00CE1653">
        <w:rPr>
          <w:rFonts w:ascii="Book Antiqua" w:hAnsi="Book Antiqua"/>
          <w:lang w:val="sr-Latn-RS"/>
        </w:rPr>
        <w:t>predviđeno je rukovođenje najboljim interesom deteta</w:t>
      </w:r>
      <w:r>
        <w:rPr>
          <w:rFonts w:ascii="Book Antiqua" w:hAnsi="Book Antiqua"/>
          <w:lang w:val="sr-Latn-RS"/>
        </w:rPr>
        <w:t xml:space="preserve"> u svim </w:t>
      </w:r>
      <w:r w:rsidR="00CE1653">
        <w:rPr>
          <w:rFonts w:ascii="Book Antiqua" w:hAnsi="Book Antiqua"/>
          <w:lang w:val="sr-Latn-RS"/>
        </w:rPr>
        <w:t xml:space="preserve">segmentima koji se tiču deteta, i to </w:t>
      </w:r>
      <w:r w:rsidR="00AD72A1" w:rsidRPr="00CE1653">
        <w:rPr>
          <w:rFonts w:ascii="Book Antiqua" w:hAnsi="Book Antiqua"/>
          <w:lang w:val="sr-Latn-RS"/>
        </w:rPr>
        <w:t>u sporu za zaštitu prava, u sporu za vršenje prava i u sporu za lišenje roditeljskog prava</w:t>
      </w:r>
      <w:r w:rsidR="00CE1653">
        <w:rPr>
          <w:rStyle w:val="FootnoteReference"/>
          <w:rFonts w:ascii="Book Antiqua" w:hAnsi="Book Antiqua"/>
          <w:lang w:val="sr-Latn-RS"/>
        </w:rPr>
        <w:footnoteReference w:id="44"/>
      </w:r>
      <w:r w:rsidR="00CE1653">
        <w:rPr>
          <w:rFonts w:ascii="Book Antiqua" w:hAnsi="Book Antiqua"/>
          <w:lang w:val="sr-Latn-RS"/>
        </w:rPr>
        <w:t>,</w:t>
      </w:r>
      <w:r w:rsidR="00AD72A1" w:rsidRPr="00CE1653">
        <w:rPr>
          <w:rFonts w:ascii="Book Antiqua" w:hAnsi="Book Antiqua"/>
          <w:lang w:val="sr-Latn-RS"/>
        </w:rPr>
        <w:t xml:space="preserve"> </w:t>
      </w:r>
      <w:r w:rsidR="00CE1653" w:rsidRPr="00CE1653">
        <w:rPr>
          <w:rFonts w:ascii="Book Antiqua" w:hAnsi="Book Antiqua"/>
          <w:lang w:val="sr-Latn-RS"/>
        </w:rPr>
        <w:t>kao i</w:t>
      </w:r>
      <w:r w:rsidR="00AD72A1" w:rsidRPr="00CE1653">
        <w:rPr>
          <w:rFonts w:ascii="Book Antiqua" w:hAnsi="Book Antiqua"/>
          <w:lang w:val="sr-Latn-RS"/>
        </w:rPr>
        <w:t xml:space="preserve"> prilikom prihvatanja sporazuma o zajedničkom vršenju roditeljskog prava</w:t>
      </w:r>
      <w:r w:rsidR="00CE1653">
        <w:rPr>
          <w:rStyle w:val="FootnoteReference"/>
          <w:rFonts w:ascii="Book Antiqua" w:hAnsi="Book Antiqua"/>
          <w:lang w:val="sr-Latn-RS"/>
        </w:rPr>
        <w:footnoteReference w:id="45"/>
      </w:r>
      <w:r w:rsidR="00AD72A1" w:rsidRPr="00CE1653">
        <w:rPr>
          <w:rFonts w:ascii="Book Antiqua" w:hAnsi="Book Antiqua"/>
          <w:lang w:val="sr-Latn-RS"/>
        </w:rPr>
        <w:t>, prilikom ograni</w:t>
      </w:r>
      <w:r w:rsidR="00AD72A1" w:rsidRPr="00CE1653">
        <w:rPr>
          <w:rFonts w:ascii="Book Antiqua" w:hAnsi="Book Antiqua" w:cs="Book Antiqua"/>
          <w:lang w:val="sr-Latn-RS"/>
        </w:rPr>
        <w:t>č</w:t>
      </w:r>
      <w:r w:rsidR="00AD72A1" w:rsidRPr="00CE1653">
        <w:rPr>
          <w:rFonts w:ascii="Book Antiqua" w:hAnsi="Book Antiqua"/>
          <w:lang w:val="sr-Latn-RS"/>
        </w:rPr>
        <w:t xml:space="preserve">enja prava deteta da </w:t>
      </w:r>
      <w:r w:rsidR="00AD72A1" w:rsidRPr="00CE1653">
        <w:rPr>
          <w:rFonts w:ascii="Book Antiqua" w:hAnsi="Book Antiqua" w:cs="Book Antiqua"/>
          <w:lang w:val="sr-Latn-RS"/>
        </w:rPr>
        <w:t>ž</w:t>
      </w:r>
      <w:r w:rsidR="00AD72A1" w:rsidRPr="00CE1653">
        <w:rPr>
          <w:rFonts w:ascii="Book Antiqua" w:hAnsi="Book Antiqua"/>
          <w:lang w:val="sr-Latn-RS"/>
        </w:rPr>
        <w:t>ivi sa roditeljima</w:t>
      </w:r>
      <w:r w:rsidR="00A10785">
        <w:rPr>
          <w:rStyle w:val="FootnoteReference"/>
          <w:rFonts w:ascii="Book Antiqua" w:hAnsi="Book Antiqua"/>
          <w:lang w:val="sr-Latn-RS"/>
        </w:rPr>
        <w:footnoteReference w:id="46"/>
      </w:r>
      <w:r w:rsidR="00AD72A1" w:rsidRPr="00CE1653">
        <w:rPr>
          <w:rFonts w:ascii="Book Antiqua" w:hAnsi="Book Antiqua"/>
          <w:lang w:val="sr-Latn-RS"/>
        </w:rPr>
        <w:t>, da odr</w:t>
      </w:r>
      <w:r w:rsidR="00AD72A1" w:rsidRPr="00CE1653">
        <w:rPr>
          <w:rFonts w:ascii="Book Antiqua" w:hAnsi="Book Antiqua" w:cs="Book Antiqua"/>
          <w:lang w:val="sr-Latn-RS"/>
        </w:rPr>
        <w:t>ž</w:t>
      </w:r>
      <w:r w:rsidR="00AD72A1" w:rsidRPr="00CE1653">
        <w:rPr>
          <w:rFonts w:ascii="Book Antiqua" w:hAnsi="Book Antiqua"/>
          <w:lang w:val="sr-Latn-RS"/>
        </w:rPr>
        <w:t>ava li</w:t>
      </w:r>
      <w:r w:rsidR="00AD72A1" w:rsidRPr="00CE1653">
        <w:rPr>
          <w:rFonts w:ascii="Book Antiqua" w:hAnsi="Book Antiqua" w:cs="Book Antiqua"/>
          <w:lang w:val="sr-Latn-RS"/>
        </w:rPr>
        <w:t>č</w:t>
      </w:r>
      <w:r w:rsidR="00AD72A1" w:rsidRPr="00CE1653">
        <w:rPr>
          <w:rFonts w:ascii="Book Antiqua" w:hAnsi="Book Antiqua"/>
          <w:lang w:val="sr-Latn-RS"/>
        </w:rPr>
        <w:t>ne odnose sa roditeljim</w:t>
      </w:r>
      <w:r w:rsidR="00CE1653">
        <w:rPr>
          <w:rFonts w:ascii="Book Antiqua" w:hAnsi="Book Antiqua"/>
          <w:lang w:val="sr-Latn-RS"/>
        </w:rPr>
        <w:t>a</w:t>
      </w:r>
      <w:r w:rsidR="00A10785">
        <w:rPr>
          <w:rStyle w:val="FootnoteReference"/>
          <w:rFonts w:ascii="Book Antiqua" w:hAnsi="Book Antiqua"/>
          <w:lang w:val="sr-Latn-RS"/>
        </w:rPr>
        <w:footnoteReference w:id="47"/>
      </w:r>
      <w:r w:rsidR="00CE1653">
        <w:rPr>
          <w:rFonts w:ascii="Book Antiqua" w:hAnsi="Book Antiqua"/>
          <w:lang w:val="sr-Latn-RS"/>
        </w:rPr>
        <w:t>, prilikom usvojenja</w:t>
      </w:r>
      <w:r w:rsidR="00A10785">
        <w:rPr>
          <w:rStyle w:val="FootnoteReference"/>
          <w:rFonts w:ascii="Book Antiqua" w:hAnsi="Book Antiqua"/>
          <w:lang w:val="sr-Latn-RS"/>
        </w:rPr>
        <w:footnoteReference w:id="48"/>
      </w:r>
      <w:r w:rsidR="00AD72A1" w:rsidRPr="00CE1653">
        <w:rPr>
          <w:rFonts w:ascii="Book Antiqua" w:hAnsi="Book Antiqua"/>
          <w:lang w:val="sr-Latn-RS"/>
        </w:rPr>
        <w:t>, usvojenja od strane stranog dr</w:t>
      </w:r>
      <w:r w:rsidR="00AD72A1" w:rsidRPr="00CE1653">
        <w:rPr>
          <w:rFonts w:ascii="Book Antiqua" w:hAnsi="Book Antiqua" w:cs="Book Antiqua"/>
          <w:lang w:val="sr-Latn-RS"/>
        </w:rPr>
        <w:t>ž</w:t>
      </w:r>
      <w:r w:rsidR="00AD72A1" w:rsidRPr="00CE1653">
        <w:rPr>
          <w:rFonts w:ascii="Book Antiqua" w:hAnsi="Book Antiqua"/>
          <w:lang w:val="sr-Latn-RS"/>
        </w:rPr>
        <w:t>avljanina pre roka predvi</w:t>
      </w:r>
      <w:r w:rsidR="00AD72A1" w:rsidRPr="00CE1653">
        <w:rPr>
          <w:rFonts w:ascii="Book Antiqua" w:hAnsi="Book Antiqua" w:cs="Book Antiqua"/>
          <w:lang w:val="sr-Latn-RS"/>
        </w:rPr>
        <w:t>đ</w:t>
      </w:r>
      <w:r w:rsidR="00CE1653">
        <w:rPr>
          <w:rFonts w:ascii="Book Antiqua" w:hAnsi="Book Antiqua"/>
          <w:lang w:val="sr-Latn-RS"/>
        </w:rPr>
        <w:t>enog zakonom</w:t>
      </w:r>
      <w:r w:rsidR="00A10785">
        <w:rPr>
          <w:rStyle w:val="FootnoteReference"/>
          <w:rFonts w:ascii="Book Antiqua" w:hAnsi="Book Antiqua"/>
          <w:lang w:val="sr-Latn-RS"/>
        </w:rPr>
        <w:footnoteReference w:id="49"/>
      </w:r>
      <w:r w:rsidR="00AD72A1" w:rsidRPr="00CE1653">
        <w:rPr>
          <w:rFonts w:ascii="Book Antiqua" w:hAnsi="Book Antiqua"/>
          <w:lang w:val="sr-Latn-RS"/>
        </w:rPr>
        <w:t>, zasnivanja ili raskidanja hraniteljstva</w:t>
      </w:r>
      <w:r w:rsidR="00A10785">
        <w:rPr>
          <w:rStyle w:val="FootnoteReference"/>
          <w:rFonts w:ascii="Book Antiqua" w:hAnsi="Book Antiqua"/>
          <w:lang w:val="sr-Latn-RS"/>
        </w:rPr>
        <w:footnoteReference w:id="50"/>
      </w:r>
      <w:r w:rsidR="00AD72A1" w:rsidRPr="00CE1653">
        <w:rPr>
          <w:rFonts w:ascii="Book Antiqua" w:hAnsi="Book Antiqua"/>
          <w:lang w:val="sr-Latn-RS"/>
        </w:rPr>
        <w:t xml:space="preserve"> te prilikom postavljanja istog lica za staratelja više štićenika</w:t>
      </w:r>
      <w:r w:rsidR="00A10785">
        <w:rPr>
          <w:rStyle w:val="FootnoteReference"/>
          <w:rFonts w:ascii="Book Antiqua" w:hAnsi="Book Antiqua"/>
          <w:lang w:val="sr-Latn-RS"/>
        </w:rPr>
        <w:footnoteReference w:id="51"/>
      </w:r>
      <w:r w:rsidR="00AD72A1" w:rsidRPr="00CE1653">
        <w:rPr>
          <w:rFonts w:ascii="Book Antiqua" w:hAnsi="Book Antiqua"/>
          <w:lang w:val="sr-Latn-RS"/>
        </w:rPr>
        <w:t>.</w:t>
      </w:r>
    </w:p>
    <w:p w:rsidR="006A5C5B" w:rsidRDefault="006A5C5B" w:rsidP="006A5C5B">
      <w:pPr>
        <w:spacing w:line="240" w:lineRule="auto"/>
        <w:jc w:val="both"/>
        <w:rPr>
          <w:rFonts w:ascii="Book Antiqua" w:hAnsi="Book Antiqua"/>
          <w:lang w:val="sr-Latn-RS"/>
        </w:rPr>
      </w:pPr>
      <w:r>
        <w:rPr>
          <w:rFonts w:ascii="Book Antiqua" w:hAnsi="Book Antiqua"/>
          <w:lang w:val="sr-Latn-RS"/>
        </w:rPr>
        <w:t>Porodičnim zakonom je predviđena opšta zabrana nasilja u porodici, kao i da svako ima pravo na zaštitu od nasilja u porodici.</w:t>
      </w:r>
      <w:r>
        <w:rPr>
          <w:rStyle w:val="FootnoteReference"/>
          <w:rFonts w:ascii="Book Antiqua" w:hAnsi="Book Antiqua"/>
          <w:lang w:val="sr-Latn-RS"/>
        </w:rPr>
        <w:footnoteReference w:id="52"/>
      </w:r>
      <w:r>
        <w:rPr>
          <w:rFonts w:ascii="Book Antiqua" w:hAnsi="Book Antiqua"/>
          <w:lang w:val="sr-Latn-RS"/>
        </w:rPr>
        <w:t xml:space="preserve"> </w:t>
      </w:r>
      <w:r w:rsidRPr="006D1F22">
        <w:rPr>
          <w:rFonts w:ascii="Book Antiqua" w:hAnsi="Book Antiqua"/>
          <w:b/>
          <w:lang w:val="sr-Latn-RS"/>
        </w:rPr>
        <w:t>Nasilje u porodici</w:t>
      </w:r>
      <w:r>
        <w:rPr>
          <w:rFonts w:ascii="Book Antiqua" w:hAnsi="Book Antiqua"/>
          <w:lang w:val="sr-Latn-RS"/>
        </w:rPr>
        <w:t xml:space="preserve"> je definisano kao </w:t>
      </w:r>
      <w:r w:rsidRPr="00500BC0">
        <w:rPr>
          <w:rFonts w:ascii="Book Antiqua" w:hAnsi="Book Antiqua"/>
          <w:lang w:val="sr-Latn-RS"/>
        </w:rPr>
        <w:t>ponašanje kojim jedan član porodice ugrožava telesni integritet, duševno zdravlje ili spokojstvo drugog člana porodice.</w:t>
      </w:r>
      <w:r>
        <w:rPr>
          <w:rStyle w:val="FootnoteReference"/>
          <w:rFonts w:ascii="Book Antiqua" w:hAnsi="Book Antiqua"/>
          <w:lang w:val="sr-Latn-RS"/>
        </w:rPr>
        <w:footnoteReference w:id="53"/>
      </w:r>
      <w:r w:rsidRPr="00500BC0">
        <w:rPr>
          <w:rFonts w:ascii="Book Antiqua" w:hAnsi="Book Antiqua"/>
          <w:lang w:val="sr-Latn-RS"/>
        </w:rPr>
        <w:t xml:space="preserve"> </w:t>
      </w:r>
    </w:p>
    <w:p w:rsidR="006A5C5B" w:rsidRDefault="006A5C5B" w:rsidP="006A5C5B">
      <w:pPr>
        <w:spacing w:line="240" w:lineRule="auto"/>
        <w:jc w:val="both"/>
        <w:rPr>
          <w:rFonts w:ascii="Book Antiqua" w:hAnsi="Book Antiqua"/>
          <w:lang w:val="sr-Latn-RS"/>
        </w:rPr>
      </w:pPr>
      <w:r w:rsidRPr="00D50687">
        <w:rPr>
          <w:rFonts w:ascii="Book Antiqua" w:hAnsi="Book Antiqua"/>
          <w:lang w:val="sr-Latn-RS"/>
        </w:rPr>
        <w:t>U zakonu se dalje navodi detaljnije koje sve radnje predstavljaju nasilje u porodici: nanošenje ili pokušaj nanošenja telesne povrede; izazivanje straha pretnjom ubistva ili nanošenja telesne povrede članu porodice ili njemu bliskom licu; prisiljavanje na seksualni odnos; navođenje na seksualni odnos ili seksualni odnos sa licem koje nije navršilo 14. godinu života ili nemoćnim licem; ograničavanje slobode kretanja ili komuniciranja sa trećim licima; vređanje, kao i svako drugo drsko, bezobzirno i zlonamerno ponašanje.</w:t>
      </w:r>
      <w:r w:rsidRPr="00D50687">
        <w:rPr>
          <w:rStyle w:val="FootnoteReference"/>
          <w:rFonts w:ascii="Book Antiqua" w:hAnsi="Book Antiqua"/>
          <w:lang w:val="sr-Latn-RS"/>
        </w:rPr>
        <w:footnoteReference w:id="54"/>
      </w:r>
      <w:r w:rsidRPr="00D50687">
        <w:rPr>
          <w:rFonts w:ascii="Book Antiqua" w:hAnsi="Book Antiqua"/>
          <w:lang w:val="sr-Latn-RS"/>
        </w:rPr>
        <w:t xml:space="preserve"> </w:t>
      </w:r>
    </w:p>
    <w:p w:rsidR="006A5C5B" w:rsidRDefault="006A5C5B" w:rsidP="006A5C5B">
      <w:pPr>
        <w:spacing w:line="240" w:lineRule="auto"/>
        <w:jc w:val="both"/>
        <w:rPr>
          <w:rFonts w:ascii="Book Antiqua" w:hAnsi="Book Antiqua"/>
          <w:lang w:val="sr-Latn-RS"/>
        </w:rPr>
      </w:pPr>
      <w:r w:rsidRPr="00D50687">
        <w:rPr>
          <w:rFonts w:ascii="Book Antiqua" w:hAnsi="Book Antiqua"/>
          <w:lang w:val="sr-Latn-RS"/>
        </w:rPr>
        <w:t>Ovim zakonom kao članovi porodice navode se supružnici ili bivši supružnici; deca, roditelji i ostali krvni srodnici, te lica u tazbinskom ili adoptivnom srodstvu, odnosno lica koja vezuje hraniteljstvo; lica koja žive ili su živela u istom porodičnom domaćinstvu; vanbračni partneri ili bivši vanbračni partneri; lica koja su međusobno bila ili su još uvek u emotivnoj ili seksualnoj vezi, odnosno koja imaju zajedničko dete ili je dete na putu da bude rođeno, iako nikada nisu živela u istom porodičnom domaćinstvu.</w:t>
      </w:r>
      <w:r w:rsidRPr="00D50687">
        <w:rPr>
          <w:rStyle w:val="FootnoteReference"/>
          <w:rFonts w:ascii="Book Antiqua" w:hAnsi="Book Antiqua"/>
          <w:lang w:val="sr-Latn-RS"/>
        </w:rPr>
        <w:footnoteReference w:id="55"/>
      </w:r>
      <w:r>
        <w:rPr>
          <w:rFonts w:ascii="Book Antiqua" w:hAnsi="Book Antiqua"/>
          <w:lang w:val="sr-Latn-RS"/>
        </w:rPr>
        <w:t xml:space="preserve"> </w:t>
      </w:r>
    </w:p>
    <w:p w:rsidR="006A5C5B" w:rsidRDefault="006A5C5B" w:rsidP="006A5C5B">
      <w:pPr>
        <w:spacing w:line="240" w:lineRule="auto"/>
        <w:jc w:val="both"/>
        <w:rPr>
          <w:rFonts w:ascii="Book Antiqua" w:hAnsi="Book Antiqua"/>
          <w:lang w:val="sr-Latn-RS"/>
        </w:rPr>
      </w:pPr>
      <w:r>
        <w:rPr>
          <w:rFonts w:ascii="Book Antiqua" w:hAnsi="Book Antiqua"/>
          <w:lang w:val="sr-Latn-RS"/>
        </w:rPr>
        <w:t xml:space="preserve">Važan segment predstavljaju </w:t>
      </w:r>
      <w:r w:rsidRPr="006D1F22">
        <w:rPr>
          <w:rFonts w:ascii="Book Antiqua" w:hAnsi="Book Antiqua"/>
          <w:b/>
          <w:lang w:val="sr-Latn-RS"/>
        </w:rPr>
        <w:t>mere zaštite</w:t>
      </w:r>
      <w:r>
        <w:rPr>
          <w:rFonts w:ascii="Book Antiqua" w:hAnsi="Book Antiqua"/>
          <w:lang w:val="sr-Latn-RS"/>
        </w:rPr>
        <w:t xml:space="preserve"> predviđene ovim zakonom, čiji je cilj zaštita telesnog integriteta, duševnog zdravlja i spokojstva žrtve ali i sprečavanje ponavljanja nasilja od strane nasilnika. Mere zaštite određuju se protiv člana porodice koji vrši nasilje i ima svrhu privremene zabrane ili ograničavanja održavanja ličnih odnosa sa žrtvom, a mogu biti  </w:t>
      </w:r>
      <w:r w:rsidRPr="00D50687">
        <w:rPr>
          <w:rFonts w:ascii="Book Antiqua" w:hAnsi="Book Antiqua"/>
          <w:lang w:val="sr-Latn-RS"/>
        </w:rPr>
        <w:t>izdavanje naloga za iseljenje iz porodičnog stana ili kuće, bez obzira na pravo svoji</w:t>
      </w:r>
      <w:r>
        <w:rPr>
          <w:rFonts w:ascii="Book Antiqua" w:hAnsi="Book Antiqua"/>
          <w:lang w:val="sr-Latn-RS"/>
        </w:rPr>
        <w:t>ne odnosno zakupa nepokretnosti,</w:t>
      </w:r>
      <w:r w:rsidRPr="00D50687">
        <w:rPr>
          <w:rFonts w:ascii="Book Antiqua" w:hAnsi="Book Antiqua"/>
          <w:lang w:val="sr-Latn-RS"/>
        </w:rPr>
        <w:t xml:space="preserve"> </w:t>
      </w:r>
      <w:r>
        <w:rPr>
          <w:rFonts w:ascii="Book Antiqua" w:hAnsi="Book Antiqua"/>
          <w:lang w:val="sr-Latn-RS"/>
        </w:rPr>
        <w:t>i</w:t>
      </w:r>
      <w:r w:rsidRPr="00D50687">
        <w:rPr>
          <w:rFonts w:ascii="Book Antiqua" w:hAnsi="Book Antiqua"/>
          <w:lang w:val="sr-Latn-RS"/>
        </w:rPr>
        <w:t>zdavanje naloga za useljenje u porodični stan ili kuću, bez obzira na pravo svojine o</w:t>
      </w:r>
      <w:r>
        <w:rPr>
          <w:rFonts w:ascii="Book Antiqua" w:hAnsi="Book Antiqua"/>
          <w:lang w:val="sr-Latn-RS"/>
        </w:rPr>
        <w:t xml:space="preserve">dnosno zakupa nepokretnosti, </w:t>
      </w:r>
      <w:r w:rsidRPr="00D50687">
        <w:rPr>
          <w:rFonts w:ascii="Book Antiqua" w:hAnsi="Book Antiqua"/>
          <w:lang w:val="sr-Latn-RS"/>
        </w:rPr>
        <w:t>zabrana približavanja članu porodi</w:t>
      </w:r>
      <w:r>
        <w:rPr>
          <w:rFonts w:ascii="Book Antiqua" w:hAnsi="Book Antiqua"/>
          <w:lang w:val="sr-Latn-RS"/>
        </w:rPr>
        <w:t xml:space="preserve">ce na određenoj udaljenosti, </w:t>
      </w:r>
      <w:r w:rsidRPr="00D50687">
        <w:rPr>
          <w:rFonts w:ascii="Book Antiqua" w:hAnsi="Book Antiqua"/>
          <w:lang w:val="sr-Latn-RS"/>
        </w:rPr>
        <w:t>zabrana pristupa u prostor oko mesta stanovanja il</w:t>
      </w:r>
      <w:r>
        <w:rPr>
          <w:rFonts w:ascii="Book Antiqua" w:hAnsi="Book Antiqua"/>
          <w:lang w:val="sr-Latn-RS"/>
        </w:rPr>
        <w:t xml:space="preserve">i mesta rada člana porodice, </w:t>
      </w:r>
      <w:r w:rsidRPr="00D50687">
        <w:rPr>
          <w:rFonts w:ascii="Book Antiqua" w:hAnsi="Book Antiqua"/>
          <w:lang w:val="sr-Latn-RS"/>
        </w:rPr>
        <w:t>zabrana daljeg uznemiravanja člana porodice.</w:t>
      </w:r>
      <w:r>
        <w:rPr>
          <w:rStyle w:val="FootnoteReference"/>
          <w:rFonts w:ascii="Book Antiqua" w:hAnsi="Book Antiqua"/>
          <w:lang w:val="sr-Latn-RS"/>
        </w:rPr>
        <w:footnoteReference w:id="56"/>
      </w:r>
      <w:r>
        <w:rPr>
          <w:rFonts w:ascii="Book Antiqua" w:hAnsi="Book Antiqua"/>
          <w:lang w:val="sr-Latn-RS"/>
        </w:rPr>
        <w:t xml:space="preserve"> </w:t>
      </w:r>
    </w:p>
    <w:p w:rsidR="006A5C5B" w:rsidRDefault="006A5C5B" w:rsidP="006A5C5B">
      <w:pPr>
        <w:spacing w:line="240" w:lineRule="auto"/>
        <w:jc w:val="both"/>
        <w:rPr>
          <w:rFonts w:ascii="Book Antiqua" w:hAnsi="Book Antiqua"/>
          <w:lang w:val="sr-Latn-RS"/>
        </w:rPr>
      </w:pPr>
      <w:r>
        <w:rPr>
          <w:rFonts w:ascii="Book Antiqua" w:hAnsi="Book Antiqua"/>
          <w:lang w:val="sr-Latn-RS"/>
        </w:rPr>
        <w:t xml:space="preserve">Međutim, primena mera zaštite od nasilja u porodici je još uvek ograničena jer odgovarajući procesni i izvršni mehanizmi nisu usklađeni, kao i iz razloga što u praksi sudovi retko izriču ove mere, posebno u situacijama kada je nasilnik vlasnik nepokretnosti.  </w:t>
      </w:r>
    </w:p>
    <w:p w:rsidR="00EA3974" w:rsidRPr="00D46D5F" w:rsidRDefault="00D200FB" w:rsidP="00EA3974">
      <w:pPr>
        <w:spacing w:line="240" w:lineRule="auto"/>
        <w:jc w:val="both"/>
        <w:rPr>
          <w:rFonts w:ascii="Book Antiqua" w:hAnsi="Book Antiqua"/>
          <w:lang w:val="sr-Latn-RS"/>
        </w:rPr>
      </w:pPr>
      <w:r w:rsidRPr="00D46D5F">
        <w:rPr>
          <w:rFonts w:ascii="Book Antiqua" w:hAnsi="Book Antiqua"/>
          <w:lang w:val="sr-Latn-RS"/>
        </w:rPr>
        <w:t>U pogledu značaja i svrhe zaštitnih mera z</w:t>
      </w:r>
      <w:r w:rsidR="000C67EA" w:rsidRPr="00D46D5F">
        <w:rPr>
          <w:rFonts w:ascii="Book Antiqua" w:hAnsi="Book Antiqua"/>
          <w:lang w:val="sr-Latn-RS"/>
        </w:rPr>
        <w:t>načajno</w:t>
      </w:r>
      <w:r w:rsidR="00EA3974" w:rsidRPr="00D46D5F">
        <w:rPr>
          <w:rFonts w:ascii="Book Antiqua" w:hAnsi="Book Antiqua"/>
          <w:lang w:val="sr-Latn-RS"/>
        </w:rPr>
        <w:t xml:space="preserve"> je istaći sentencu iz presude Vrhovnog kasacionog suda kojom je izraženo mišljenje da je opravdano određivanje mere zaštite od nasilja u porodici čak i kada se prema mišljenju stručnih ustanova ne može sa sigurnošću isključiti seksualno zlostavljanje maloletnog deteta.</w:t>
      </w:r>
      <w:r w:rsidR="00EA3974" w:rsidRPr="00D46D5F">
        <w:rPr>
          <w:rStyle w:val="FootnoteReference"/>
          <w:rFonts w:ascii="Book Antiqua" w:hAnsi="Book Antiqua"/>
          <w:lang w:val="sr-Latn-RS"/>
        </w:rPr>
        <w:footnoteReference w:id="57"/>
      </w:r>
      <w:r w:rsidR="00EA3974" w:rsidRPr="00D46D5F">
        <w:rPr>
          <w:rFonts w:ascii="Book Antiqua" w:hAnsi="Book Antiqua"/>
          <w:lang w:val="sr-Latn-RS"/>
        </w:rPr>
        <w:t xml:space="preserve"> Po oceni suda, svrha zaštitne mere je sprečavanje nastanka traume ili povrede i stim u vezi moraju biti efikasne i svrsishodne kako bi mogle da ostvare svoj preventivni cilj, ali i krajnji cilj a to je zaštita porodice.   </w:t>
      </w:r>
    </w:p>
    <w:p w:rsidR="000D715C" w:rsidRDefault="000D715C" w:rsidP="006A5C5B">
      <w:pPr>
        <w:spacing w:line="240" w:lineRule="auto"/>
        <w:jc w:val="both"/>
        <w:rPr>
          <w:rFonts w:ascii="Book Antiqua" w:hAnsi="Book Antiqua"/>
          <w:lang w:val="sr-Latn-RS"/>
        </w:rPr>
      </w:pPr>
      <w:r w:rsidRPr="00D46D5F">
        <w:rPr>
          <w:rFonts w:ascii="Book Antiqua" w:hAnsi="Book Antiqua"/>
          <w:lang w:val="sr-Latn-RS"/>
        </w:rPr>
        <w:t xml:space="preserve">Kao </w:t>
      </w:r>
      <w:r w:rsidR="00F11B51" w:rsidRPr="00D46D5F">
        <w:rPr>
          <w:rFonts w:ascii="Book Antiqua" w:hAnsi="Book Antiqua"/>
          <w:lang w:val="sr-Latn-RS"/>
        </w:rPr>
        <w:t xml:space="preserve">jedan od </w:t>
      </w:r>
      <w:r w:rsidRPr="00D46D5F">
        <w:rPr>
          <w:rFonts w:ascii="Book Antiqua" w:hAnsi="Book Antiqua"/>
          <w:lang w:val="sr-Latn-RS"/>
        </w:rPr>
        <w:t>primer</w:t>
      </w:r>
      <w:r w:rsidR="00F11B51" w:rsidRPr="00D46D5F">
        <w:rPr>
          <w:rFonts w:ascii="Book Antiqua" w:hAnsi="Book Antiqua"/>
          <w:lang w:val="sr-Latn-RS"/>
        </w:rPr>
        <w:t>a</w:t>
      </w:r>
      <w:r w:rsidRPr="00D46D5F">
        <w:rPr>
          <w:rFonts w:ascii="Book Antiqua" w:hAnsi="Book Antiqua"/>
          <w:lang w:val="sr-Latn-RS"/>
        </w:rPr>
        <w:t xml:space="preserve"> iz prakse, navodimo </w:t>
      </w:r>
      <w:r w:rsidR="00F11B51" w:rsidRPr="00D46D5F">
        <w:rPr>
          <w:rFonts w:ascii="Book Antiqua" w:hAnsi="Book Antiqua"/>
          <w:lang w:val="sr-Latn-RS"/>
        </w:rPr>
        <w:t xml:space="preserve">i </w:t>
      </w:r>
      <w:r w:rsidRPr="00D46D5F">
        <w:rPr>
          <w:rFonts w:ascii="Book Antiqua" w:hAnsi="Book Antiqua"/>
          <w:lang w:val="sr-Latn-RS"/>
        </w:rPr>
        <w:t>odluku Vrhovnog kasacionog suda koji je u svojoj presudi iz 2015.godine smatrao da je činjenica da su radnje nasilja prestale podnošenjem tužbe za zaštitu od nasilja u porodici, odnosno činjenica o periodu koji je protekao od poslednje radnje nasilja, dovoljan razlog za nepostojanje potrebe, odnosno opravdanosti za izricanje mere zaštite od nasilja u porodici, te je potvrdio odluke nižestepenih sudova.</w:t>
      </w:r>
      <w:r w:rsidRPr="00D46D5F">
        <w:rPr>
          <w:rStyle w:val="FootnoteReference"/>
          <w:rFonts w:ascii="Book Antiqua" w:hAnsi="Book Antiqua"/>
          <w:lang w:val="sr-Latn-RS"/>
        </w:rPr>
        <w:footnoteReference w:id="58"/>
      </w:r>
      <w:r>
        <w:rPr>
          <w:rFonts w:ascii="Book Antiqua" w:hAnsi="Book Antiqua"/>
          <w:lang w:val="sr-Latn-RS"/>
        </w:rPr>
        <w:t xml:space="preserve"> </w:t>
      </w:r>
    </w:p>
    <w:p w:rsidR="0088491E" w:rsidRDefault="0088491E" w:rsidP="006A5C5B">
      <w:pPr>
        <w:spacing w:line="240" w:lineRule="auto"/>
        <w:jc w:val="both"/>
        <w:rPr>
          <w:rFonts w:ascii="Book Antiqua" w:hAnsi="Book Antiqua"/>
          <w:lang w:val="sr-Latn-RS"/>
        </w:rPr>
      </w:pPr>
      <w:r w:rsidRPr="00FE02CA">
        <w:rPr>
          <w:rFonts w:ascii="Book Antiqua" w:hAnsi="Book Antiqua"/>
          <w:lang w:val="sr-Latn-RS"/>
        </w:rPr>
        <w:t xml:space="preserve">U sveobuhvatnoj zaštiti žrtve nasilja može biti i problem što je trajanje izrečene mere zaštite vremenski ograničeno </w:t>
      </w:r>
      <w:r w:rsidRPr="00FE02CA">
        <w:rPr>
          <w:rFonts w:ascii="Book Antiqua" w:hAnsi="Book Antiqua"/>
          <w:i/>
          <w:lang w:val="sr-Latn-RS"/>
        </w:rPr>
        <w:t>„i istekom mere, ne može se podneti zahtev za njeno produženje, već nova tužba za ponovno određivanje mere zaštite“</w:t>
      </w:r>
      <w:r w:rsidRPr="00FE02CA">
        <w:rPr>
          <w:rStyle w:val="FootnoteReference"/>
          <w:rFonts w:ascii="Book Antiqua" w:hAnsi="Book Antiqua"/>
          <w:lang w:val="sr-Latn-RS"/>
        </w:rPr>
        <w:footnoteReference w:id="59"/>
      </w:r>
      <w:r w:rsidRPr="00FE02CA">
        <w:rPr>
          <w:rFonts w:ascii="Book Antiqua" w:hAnsi="Book Antiqua"/>
          <w:lang w:val="sr-Latn-RS"/>
        </w:rPr>
        <w:t>, usled čega nastaje period vakuma, odnosno period u kome se žrtvi ne može pružiti potpuna zaštita sve do donošenja odluke o novoj meri zaštite.</w:t>
      </w:r>
      <w:r w:rsidRPr="00FE02CA">
        <w:rPr>
          <w:rStyle w:val="FootnoteReference"/>
          <w:rFonts w:ascii="Book Antiqua" w:hAnsi="Book Antiqua"/>
          <w:lang w:val="sr-Latn-RS"/>
        </w:rPr>
        <w:footnoteReference w:id="60"/>
      </w:r>
      <w:r>
        <w:rPr>
          <w:rFonts w:ascii="Book Antiqua" w:hAnsi="Book Antiqua"/>
          <w:lang w:val="sr-Latn-RS"/>
        </w:rPr>
        <w:t xml:space="preserve">   </w:t>
      </w:r>
    </w:p>
    <w:p w:rsidR="00AD72A1" w:rsidRDefault="006D1F22" w:rsidP="00652744">
      <w:pPr>
        <w:spacing w:line="240" w:lineRule="auto"/>
        <w:jc w:val="both"/>
        <w:rPr>
          <w:rFonts w:ascii="Book Antiqua" w:hAnsi="Book Antiqua"/>
          <w:lang w:val="sr-Latn-RS"/>
        </w:rPr>
      </w:pPr>
      <w:r w:rsidRPr="002C61D7">
        <w:rPr>
          <w:rFonts w:ascii="Book Antiqua" w:hAnsi="Book Antiqua"/>
          <w:lang w:val="sr-Latn-RS"/>
        </w:rPr>
        <w:t xml:space="preserve">Jedan od problema prilikom pružanja </w:t>
      </w:r>
      <w:r w:rsidR="00652744" w:rsidRPr="002C61D7">
        <w:rPr>
          <w:rFonts w:ascii="Book Antiqua" w:hAnsi="Book Antiqua"/>
          <w:lang w:val="sr-Latn-RS"/>
        </w:rPr>
        <w:t xml:space="preserve">građanskopravne </w:t>
      </w:r>
      <w:r w:rsidRPr="002C61D7">
        <w:rPr>
          <w:rFonts w:ascii="Book Antiqua" w:hAnsi="Book Antiqua"/>
          <w:lang w:val="sr-Latn-RS"/>
        </w:rPr>
        <w:t>zaštite od nasilja, zlostavljanja i zanemarivanja predstavlja i postojanje neodgovarajućeg/nefunkcionalnog izvršnog mehanizma za prinudno</w:t>
      </w:r>
      <w:r w:rsidR="00652744" w:rsidRPr="002C61D7">
        <w:rPr>
          <w:rFonts w:ascii="Book Antiqua" w:hAnsi="Book Antiqua"/>
          <w:lang w:val="sr-Latn-RS"/>
        </w:rPr>
        <w:t xml:space="preserve"> izvršenje sudskih odluka, kojim bi se prava deteta zaštitila po hitnom postupku uz poštovanje i zaštitu najboljeg interesa deteta.</w:t>
      </w:r>
      <w:r w:rsidR="002C61D7" w:rsidRPr="002C61D7">
        <w:rPr>
          <w:rFonts w:ascii="Book Antiqua" w:hAnsi="Book Antiqua"/>
          <w:lang w:val="sr-Latn-RS"/>
        </w:rPr>
        <w:t xml:space="preserve"> Kako</w:t>
      </w:r>
      <w:r w:rsidR="00652744" w:rsidRPr="002C61D7">
        <w:rPr>
          <w:rFonts w:ascii="Book Antiqua" w:hAnsi="Book Antiqua"/>
          <w:lang w:val="sr-Latn-RS"/>
        </w:rPr>
        <w:t xml:space="preserve"> Porodični zakon ne sadrži posebne odredbe koje se tiču izvršenja odluka donetih u ovim postupcima, primenjuju </w:t>
      </w:r>
      <w:r w:rsidR="002C61D7" w:rsidRPr="002C61D7">
        <w:rPr>
          <w:rFonts w:ascii="Book Antiqua" w:hAnsi="Book Antiqua"/>
          <w:lang w:val="sr-Latn-RS"/>
        </w:rPr>
        <w:t xml:space="preserve">se </w:t>
      </w:r>
      <w:r w:rsidR="00652744" w:rsidRPr="002C61D7">
        <w:rPr>
          <w:rFonts w:ascii="Book Antiqua" w:hAnsi="Book Antiqua"/>
          <w:lang w:val="sr-Latn-RS"/>
        </w:rPr>
        <w:t xml:space="preserve">odredbe </w:t>
      </w:r>
      <w:r w:rsidR="00652744" w:rsidRPr="002C61D7">
        <w:rPr>
          <w:rFonts w:ascii="Book Antiqua" w:hAnsi="Book Antiqua"/>
          <w:b/>
          <w:lang w:val="sr-Latn-RS"/>
        </w:rPr>
        <w:t>Zakona o izvršenju i obezbeđenju</w:t>
      </w:r>
      <w:r w:rsidR="00652744" w:rsidRPr="002C61D7">
        <w:rPr>
          <w:rStyle w:val="FootnoteReference"/>
          <w:rFonts w:ascii="Book Antiqua" w:hAnsi="Book Antiqua"/>
          <w:lang w:val="sr-Latn-RS"/>
        </w:rPr>
        <w:footnoteReference w:id="61"/>
      </w:r>
      <w:r w:rsidR="00652744" w:rsidRPr="002C61D7">
        <w:rPr>
          <w:rFonts w:ascii="Book Antiqua" w:hAnsi="Book Antiqua"/>
          <w:lang w:val="sr-Latn-RS"/>
        </w:rPr>
        <w:t>, koji nije dovoljno senzibilisan za potpunu i delotvornu zaštitu najboljeg interesa deteta.</w:t>
      </w:r>
    </w:p>
    <w:p w:rsidR="00F61F5F" w:rsidRDefault="00743A19" w:rsidP="00F05399">
      <w:pPr>
        <w:spacing w:line="240" w:lineRule="auto"/>
        <w:jc w:val="both"/>
        <w:rPr>
          <w:rFonts w:ascii="Book Antiqua" w:hAnsi="Book Antiqua"/>
          <w:lang w:val="sr-Latn-RS"/>
        </w:rPr>
      </w:pPr>
      <w:r>
        <w:rPr>
          <w:rFonts w:ascii="Book Antiqua" w:hAnsi="Book Antiqua"/>
          <w:lang w:val="sr-Latn-RS"/>
        </w:rPr>
        <w:t xml:space="preserve">Dodatni problem predstavlja </w:t>
      </w:r>
      <w:r w:rsidR="00E24133">
        <w:rPr>
          <w:rFonts w:ascii="Book Antiqua" w:hAnsi="Book Antiqua"/>
          <w:lang w:val="sr-Latn-RS"/>
        </w:rPr>
        <w:t xml:space="preserve">i </w:t>
      </w:r>
      <w:r>
        <w:rPr>
          <w:rFonts w:ascii="Book Antiqua" w:hAnsi="Book Antiqua"/>
          <w:lang w:val="sr-Latn-RS"/>
        </w:rPr>
        <w:t xml:space="preserve">nepoštovanje propisanog </w:t>
      </w:r>
      <w:r w:rsidRPr="002C61D7">
        <w:rPr>
          <w:rFonts w:ascii="Book Antiqua" w:hAnsi="Book Antiqua"/>
          <w:b/>
          <w:lang w:val="sr-Latn-RS"/>
        </w:rPr>
        <w:t>načela hitnosti u postupcima za zaštitu od nasilja</w:t>
      </w:r>
      <w:r>
        <w:rPr>
          <w:rFonts w:ascii="Book Antiqua" w:hAnsi="Book Antiqua"/>
          <w:lang w:val="sr-Latn-RS"/>
        </w:rPr>
        <w:t>, a što dovodi do neefikasnosti samog sistema zaštite i do neusklađenosti postupaka (slučaj kada je izrečena mera zaštite, nasilnik prekrši izrečenu meru</w:t>
      </w:r>
      <w:r w:rsidR="008B235F">
        <w:rPr>
          <w:rFonts w:ascii="Book Antiqua" w:hAnsi="Book Antiqua"/>
          <w:lang w:val="sr-Latn-RS"/>
        </w:rPr>
        <w:t>, a žrtva podnese krivičnu prijavu koju tužilaštvo ne procesuira na vreme</w:t>
      </w:r>
      <w:r>
        <w:rPr>
          <w:rFonts w:ascii="Book Antiqua" w:hAnsi="Book Antiqua"/>
          <w:lang w:val="sr-Latn-RS"/>
        </w:rPr>
        <w:t>)</w:t>
      </w:r>
      <w:r w:rsidR="008B235F">
        <w:rPr>
          <w:rFonts w:ascii="Book Antiqua" w:hAnsi="Book Antiqua"/>
          <w:lang w:val="sr-Latn-RS"/>
        </w:rPr>
        <w:t>.</w:t>
      </w:r>
    </w:p>
    <w:p w:rsidR="00162BDE" w:rsidRDefault="00A733E3" w:rsidP="00F05399">
      <w:pPr>
        <w:spacing w:line="240" w:lineRule="auto"/>
        <w:jc w:val="both"/>
        <w:rPr>
          <w:rFonts w:ascii="Book Antiqua" w:hAnsi="Book Antiqua"/>
          <w:lang w:val="sr-Latn-RS"/>
        </w:rPr>
      </w:pPr>
      <w:r w:rsidRPr="000C204C">
        <w:rPr>
          <w:rFonts w:ascii="Book Antiqua" w:hAnsi="Book Antiqua"/>
          <w:lang w:val="sr-Latn-RS"/>
        </w:rPr>
        <w:t>Takođe, problem</w:t>
      </w:r>
      <w:r w:rsidR="00162BDE" w:rsidRPr="000C204C">
        <w:rPr>
          <w:rFonts w:ascii="Book Antiqua" w:hAnsi="Book Antiqua"/>
          <w:lang w:val="sr-Latn-RS"/>
        </w:rPr>
        <w:t xml:space="preserve"> se javlja i po pitanj</w:t>
      </w:r>
      <w:r w:rsidR="00364FF1" w:rsidRPr="000C204C">
        <w:rPr>
          <w:rFonts w:ascii="Book Antiqua" w:hAnsi="Book Antiqua"/>
          <w:lang w:val="sr-Latn-RS"/>
        </w:rPr>
        <w:t>u propisanog načela hitnosti</w:t>
      </w:r>
      <w:r w:rsidRPr="000C204C">
        <w:rPr>
          <w:rFonts w:ascii="Book Antiqua" w:hAnsi="Book Antiqua"/>
          <w:lang w:val="sr-Latn-RS"/>
        </w:rPr>
        <w:t xml:space="preserve"> u </w:t>
      </w:r>
      <w:r w:rsidR="00364FF1" w:rsidRPr="000C204C">
        <w:rPr>
          <w:rFonts w:ascii="Book Antiqua" w:hAnsi="Book Antiqua"/>
          <w:lang w:val="sr-Latn-RS"/>
        </w:rPr>
        <w:t>postupku donošenja</w:t>
      </w:r>
      <w:r w:rsidR="00162BDE" w:rsidRPr="000C204C">
        <w:rPr>
          <w:rFonts w:ascii="Book Antiqua" w:hAnsi="Book Antiqua"/>
          <w:lang w:val="sr-Latn-RS"/>
        </w:rPr>
        <w:t xml:space="preserve"> privremenih mera</w:t>
      </w:r>
      <w:r w:rsidR="00364FF1" w:rsidRPr="000C204C">
        <w:rPr>
          <w:rFonts w:ascii="Book Antiqua" w:hAnsi="Book Antiqua"/>
          <w:lang w:val="sr-Latn-RS"/>
        </w:rPr>
        <w:t>, jer se ne poštuju</w:t>
      </w:r>
      <w:r w:rsidR="00162BDE" w:rsidRPr="000C204C">
        <w:rPr>
          <w:rFonts w:ascii="Book Antiqua" w:hAnsi="Book Antiqua"/>
          <w:lang w:val="sr-Latn-RS"/>
        </w:rPr>
        <w:t xml:space="preserve"> </w:t>
      </w:r>
      <w:r w:rsidR="00364FF1" w:rsidRPr="000C204C">
        <w:rPr>
          <w:rFonts w:ascii="Book Antiqua" w:hAnsi="Book Antiqua"/>
          <w:lang w:val="sr-Latn-RS"/>
        </w:rPr>
        <w:t xml:space="preserve">zakonski rokovi za donošenje privremene mere koji su kraći od rokova kod redovnog davanja mišljenja od </w:t>
      </w:r>
      <w:r w:rsidR="002A7AF9" w:rsidRPr="000C204C">
        <w:rPr>
          <w:rFonts w:ascii="Book Antiqua" w:hAnsi="Book Antiqua"/>
          <w:lang w:val="sr-Latn-RS"/>
        </w:rPr>
        <w:t>strane Centara za socijalni rad</w:t>
      </w:r>
      <w:r w:rsidR="00162BDE" w:rsidRPr="000C204C">
        <w:rPr>
          <w:rFonts w:ascii="Book Antiqua" w:hAnsi="Book Antiqua"/>
          <w:lang w:val="sr-Latn-RS"/>
        </w:rPr>
        <w:t>.</w:t>
      </w:r>
      <w:r w:rsidR="00162BDE" w:rsidRPr="000C204C">
        <w:rPr>
          <w:rStyle w:val="FootnoteReference"/>
          <w:rFonts w:ascii="Book Antiqua" w:hAnsi="Book Antiqua"/>
          <w:lang w:val="sr-Latn-RS"/>
        </w:rPr>
        <w:footnoteReference w:id="62"/>
      </w:r>
      <w:r w:rsidR="00162BDE">
        <w:rPr>
          <w:rFonts w:ascii="Book Antiqua" w:hAnsi="Book Antiqua"/>
          <w:lang w:val="sr-Latn-RS"/>
        </w:rPr>
        <w:t xml:space="preserve"> </w:t>
      </w:r>
    </w:p>
    <w:p w:rsidR="00856520" w:rsidRDefault="00856520" w:rsidP="00856520">
      <w:pPr>
        <w:spacing w:line="240" w:lineRule="auto"/>
        <w:jc w:val="both"/>
        <w:rPr>
          <w:rFonts w:ascii="Book Antiqua" w:hAnsi="Book Antiqua"/>
          <w:lang w:val="sr-Latn-RS"/>
        </w:rPr>
      </w:pPr>
      <w:r w:rsidRPr="000C204C">
        <w:rPr>
          <w:rFonts w:ascii="Book Antiqua" w:hAnsi="Book Antiqua"/>
          <w:lang w:val="sr-Latn-RS"/>
        </w:rPr>
        <w:t>S druge strane, pohvalno je istaći činjenicu da drugostepeni postupci kratko traju,odnosno da drugostepena odluka bude doneta u roku od tri do šest meseci od dana zaključenja glavne rasprave.</w:t>
      </w:r>
      <w:r w:rsidRPr="000C204C">
        <w:rPr>
          <w:rStyle w:val="FootnoteReference"/>
          <w:rFonts w:ascii="Book Antiqua" w:hAnsi="Book Antiqua"/>
          <w:lang w:val="sr-Latn-RS"/>
        </w:rPr>
        <w:footnoteReference w:id="63"/>
      </w:r>
      <w:r>
        <w:rPr>
          <w:rFonts w:ascii="Book Antiqua" w:hAnsi="Book Antiqua"/>
          <w:lang w:val="sr-Latn-RS"/>
        </w:rPr>
        <w:t xml:space="preserve">  </w:t>
      </w:r>
    </w:p>
    <w:p w:rsidR="00263BFF" w:rsidRDefault="005B66BA" w:rsidP="0051119A">
      <w:pPr>
        <w:pStyle w:val="NoSpacing"/>
        <w:jc w:val="both"/>
        <w:rPr>
          <w:rFonts w:ascii="Book Antiqua" w:hAnsi="Book Antiqua"/>
          <w:lang w:val="sr-Latn-RS"/>
        </w:rPr>
      </w:pPr>
      <w:r w:rsidRPr="00572E3D">
        <w:rPr>
          <w:rFonts w:ascii="Book Antiqua" w:hAnsi="Book Antiqua"/>
          <w:lang w:val="sr-Latn-RS"/>
        </w:rPr>
        <w:t xml:space="preserve">Retki </w:t>
      </w:r>
      <w:r w:rsidR="00BF417C">
        <w:rPr>
          <w:rFonts w:ascii="Book Antiqua" w:hAnsi="Book Antiqua"/>
          <w:lang w:val="sr-Latn-RS"/>
        </w:rPr>
        <w:t>su primeri da sudovi direktno koriste</w:t>
      </w:r>
      <w:r w:rsidRPr="00572E3D">
        <w:rPr>
          <w:rFonts w:ascii="Book Antiqua" w:hAnsi="Book Antiqua"/>
          <w:lang w:val="sr-Latn-RS"/>
        </w:rPr>
        <w:t xml:space="preserve"> </w:t>
      </w:r>
      <w:r w:rsidR="00EF186C" w:rsidRPr="00572E3D">
        <w:rPr>
          <w:rFonts w:ascii="Book Antiqua" w:hAnsi="Book Antiqua"/>
          <w:lang w:val="sr-Latn-RS"/>
        </w:rPr>
        <w:t>definicije iz</w:t>
      </w:r>
      <w:r w:rsidRPr="00572E3D">
        <w:rPr>
          <w:rFonts w:ascii="Book Antiqua" w:hAnsi="Book Antiqua"/>
          <w:lang w:val="sr-Latn-RS"/>
        </w:rPr>
        <w:t xml:space="preserve"> Opšteg protokola o zaštiti dece od zlostavljanja i zanemarivanja. Tako u</w:t>
      </w:r>
      <w:r w:rsidR="00263BFF" w:rsidRPr="00572E3D">
        <w:rPr>
          <w:rFonts w:ascii="Book Antiqua" w:hAnsi="Book Antiqua"/>
          <w:lang w:val="sr-Latn-RS"/>
        </w:rPr>
        <w:t xml:space="preserve"> svojoj presudi iz 2015.godine, Vrhovni kasacioni sud je</w:t>
      </w:r>
      <w:r w:rsidR="001D5A12" w:rsidRPr="00572E3D">
        <w:rPr>
          <w:rFonts w:ascii="Book Antiqua" w:hAnsi="Book Antiqua"/>
          <w:lang w:val="sr-Latn-RS"/>
        </w:rPr>
        <w:t xml:space="preserve"> tumačio odredbu Porodičnog zak</w:t>
      </w:r>
      <w:r w:rsidR="00263BFF" w:rsidRPr="00572E3D">
        <w:rPr>
          <w:rFonts w:ascii="Book Antiqua" w:hAnsi="Book Antiqua"/>
          <w:lang w:val="sr-Latn-RS"/>
        </w:rPr>
        <w:t>ona koja definiše nasilje u porodici, tako što je konkretizovao da „</w:t>
      </w:r>
      <w:r w:rsidR="00263BFF" w:rsidRPr="00572E3D">
        <w:rPr>
          <w:rFonts w:ascii="Book Antiqua" w:hAnsi="Book Antiqua"/>
          <w:i/>
          <w:lang w:val="sr-Latn-RS"/>
        </w:rPr>
        <w:t>nasilnik preduzima raznovrsne radnje, odnosno ispoljava takvo ponašanje kako bi uspostavio moć i kontrolu, te zadovoljio neke svoje potrebe na štetu drugog člana porodice“</w:t>
      </w:r>
      <w:r w:rsidR="00263BFF" w:rsidRPr="00572E3D">
        <w:rPr>
          <w:rFonts w:ascii="Book Antiqua" w:hAnsi="Book Antiqua"/>
          <w:lang w:val="sr-Latn-RS"/>
        </w:rPr>
        <w:t>.</w:t>
      </w:r>
      <w:r w:rsidR="00263BFF" w:rsidRPr="00572E3D">
        <w:rPr>
          <w:rStyle w:val="FootnoteReference"/>
          <w:rFonts w:ascii="Book Antiqua" w:hAnsi="Book Antiqua"/>
          <w:lang w:val="sr-Latn-RS"/>
        </w:rPr>
        <w:footnoteReference w:id="64"/>
      </w:r>
      <w:r w:rsidR="00263BFF">
        <w:rPr>
          <w:rFonts w:ascii="Book Antiqua" w:hAnsi="Book Antiqua"/>
          <w:lang w:val="sr-Latn-RS"/>
        </w:rPr>
        <w:t xml:space="preserve"> </w:t>
      </w:r>
    </w:p>
    <w:p w:rsidR="00263BFF" w:rsidRDefault="00263BFF" w:rsidP="0051119A">
      <w:pPr>
        <w:pStyle w:val="NoSpacing"/>
        <w:jc w:val="both"/>
        <w:rPr>
          <w:rFonts w:ascii="Book Antiqua" w:hAnsi="Book Antiqua"/>
          <w:lang w:val="sr-Latn-RS"/>
        </w:rPr>
      </w:pPr>
    </w:p>
    <w:p w:rsidR="00566AD5" w:rsidRDefault="00566AD5" w:rsidP="0051119A">
      <w:pPr>
        <w:pStyle w:val="NoSpacing"/>
        <w:jc w:val="both"/>
        <w:rPr>
          <w:rFonts w:ascii="Book Antiqua" w:hAnsi="Book Antiqua"/>
          <w:lang w:val="sr-Latn-RS"/>
        </w:rPr>
      </w:pPr>
      <w:r w:rsidRPr="005666AF">
        <w:rPr>
          <w:rFonts w:ascii="Book Antiqua" w:hAnsi="Book Antiqua"/>
          <w:lang w:val="sr-Latn-RS"/>
        </w:rPr>
        <w:t xml:space="preserve">Vrhovni kasacioni sud je u svojoj presudi Rev 713/2016 naveo da je „najbolji interes deteta“ pravni standard koji se ceni prema okolnostima svakog konkretnog slučaja, navodeći elemente za procenu najboljih interesa deteta </w:t>
      </w:r>
      <w:r w:rsidRPr="005666AF">
        <w:rPr>
          <w:rFonts w:ascii="Book Antiqua" w:hAnsi="Book Antiqua"/>
          <w:i/>
          <w:lang w:val="sr-Latn-RS"/>
        </w:rPr>
        <w:t>„uzrast i pol deteta, njegove želje i osećanja, s obzirom na uzrast i zrelost, potrebe za vaspitanje, u vezi stanovanja, ishrane, odevanja, zdravstvene brige i dr. i sposobnost roditelja da zadovolji utvrđene potrebe deteta“.</w:t>
      </w:r>
      <w:r w:rsidRPr="005666AF">
        <w:rPr>
          <w:rStyle w:val="FootnoteReference"/>
          <w:rFonts w:ascii="Book Antiqua" w:hAnsi="Book Antiqua"/>
          <w:i/>
          <w:lang w:val="sr-Latn-RS"/>
        </w:rPr>
        <w:footnoteReference w:id="65"/>
      </w:r>
      <w:r w:rsidRPr="005666AF">
        <w:rPr>
          <w:rFonts w:ascii="Book Antiqua" w:hAnsi="Book Antiqua"/>
          <w:lang w:val="sr-Latn-RS"/>
        </w:rPr>
        <w:t xml:space="preserve"> </w:t>
      </w:r>
      <w:r w:rsidR="006E1247" w:rsidRPr="005666AF">
        <w:rPr>
          <w:rFonts w:ascii="Book Antiqua" w:hAnsi="Book Antiqua"/>
          <w:lang w:val="sr-Latn-RS"/>
        </w:rPr>
        <w:t>Isto tako i u presudi Rev 2345/2015</w:t>
      </w:r>
      <w:r w:rsidR="006E1247" w:rsidRPr="005666AF">
        <w:rPr>
          <w:rStyle w:val="FootnoteReference"/>
          <w:rFonts w:ascii="Book Antiqua" w:hAnsi="Book Antiqua"/>
          <w:lang w:val="sr-Latn-RS"/>
        </w:rPr>
        <w:footnoteReference w:id="66"/>
      </w:r>
      <w:r w:rsidR="006E1247" w:rsidRPr="005666AF">
        <w:rPr>
          <w:rFonts w:ascii="Book Antiqua" w:hAnsi="Book Antiqua"/>
          <w:lang w:val="sr-Latn-RS"/>
        </w:rPr>
        <w:t>.</w:t>
      </w:r>
    </w:p>
    <w:p w:rsidR="00566AD5" w:rsidRDefault="00566AD5" w:rsidP="0051119A">
      <w:pPr>
        <w:pStyle w:val="NoSpacing"/>
        <w:jc w:val="both"/>
        <w:rPr>
          <w:rFonts w:ascii="Book Antiqua" w:hAnsi="Book Antiqua"/>
          <w:lang w:val="sr-Latn-RS"/>
        </w:rPr>
      </w:pPr>
    </w:p>
    <w:p w:rsidR="00F9462E" w:rsidRDefault="00F9462E" w:rsidP="0051119A">
      <w:pPr>
        <w:pStyle w:val="NoSpacing"/>
        <w:jc w:val="both"/>
        <w:rPr>
          <w:rFonts w:ascii="Book Antiqua" w:hAnsi="Book Antiqua"/>
          <w:lang w:val="sr-Latn-RS"/>
        </w:rPr>
      </w:pPr>
      <w:r w:rsidRPr="00470827">
        <w:rPr>
          <w:rFonts w:ascii="Book Antiqua" w:hAnsi="Book Antiqua"/>
          <w:lang w:val="sr-Latn-RS"/>
        </w:rPr>
        <w:t xml:space="preserve">Presuda Vrhovnog kasacionog suda iz 2015.godine predstavlja veoma zanimljiv primer iz prakse, iz razloga što daje više stavova po pitanju zaštite najboljeg interesa deteta u poređenju sa zaštitom od nasilja u porodici i vršenjem roditeljskog prava. Naime, presudom je navedeno da je najbolji interes deteta pravni standard koji se ceni prema okolnostima svakog konkretnog slučaja, a da je roditeljsko pravo lično pravo roditelja, ali da se vrši isključivo u najboljem interesu deteta. Takođe, prepoznaje da </w:t>
      </w:r>
      <w:r w:rsidR="00470827" w:rsidRPr="00470827">
        <w:rPr>
          <w:rFonts w:ascii="Book Antiqua" w:hAnsi="Book Antiqua"/>
          <w:lang w:val="sr-Latn-RS"/>
        </w:rPr>
        <w:t xml:space="preserve">je </w:t>
      </w:r>
      <w:r w:rsidRPr="00470827">
        <w:rPr>
          <w:rFonts w:ascii="Book Antiqua" w:hAnsi="Book Antiqua"/>
          <w:lang w:val="sr-Latn-RS"/>
        </w:rPr>
        <w:t>nasiljem u porodici koje je izv</w:t>
      </w:r>
      <w:r w:rsidR="00470827" w:rsidRPr="00470827">
        <w:rPr>
          <w:rFonts w:ascii="Book Antiqua" w:hAnsi="Book Antiqua"/>
          <w:lang w:val="sr-Latn-RS"/>
        </w:rPr>
        <w:t>ršeno od strane oca prema majci</w:t>
      </w:r>
      <w:r w:rsidRPr="00470827">
        <w:rPr>
          <w:rFonts w:ascii="Book Antiqua" w:hAnsi="Book Antiqua"/>
          <w:lang w:val="sr-Latn-RS"/>
        </w:rPr>
        <w:t>, došlo i do nasilja prema deci u vidu ugrožavanja njihovog spokojstva.</w:t>
      </w:r>
      <w:r w:rsidRPr="00470827">
        <w:rPr>
          <w:rStyle w:val="FootnoteReference"/>
          <w:rFonts w:ascii="Book Antiqua" w:hAnsi="Book Antiqua"/>
          <w:lang w:val="sr-Latn-RS"/>
        </w:rPr>
        <w:footnoteReference w:id="67"/>
      </w:r>
      <w:r w:rsidR="002C5537">
        <w:rPr>
          <w:rFonts w:ascii="Book Antiqua" w:hAnsi="Book Antiqua"/>
          <w:lang w:val="sr-Latn-RS"/>
        </w:rPr>
        <w:t xml:space="preserve"> </w:t>
      </w:r>
    </w:p>
    <w:p w:rsidR="008703A0" w:rsidRDefault="008703A0" w:rsidP="0051119A">
      <w:pPr>
        <w:pStyle w:val="NoSpacing"/>
        <w:jc w:val="both"/>
        <w:rPr>
          <w:rFonts w:ascii="Book Antiqua" w:hAnsi="Book Antiqua"/>
          <w:lang w:val="sr-Latn-RS"/>
        </w:rPr>
      </w:pPr>
    </w:p>
    <w:p w:rsidR="008703A0" w:rsidRDefault="008703A0" w:rsidP="0051119A">
      <w:pPr>
        <w:pStyle w:val="NoSpacing"/>
        <w:jc w:val="both"/>
        <w:rPr>
          <w:rFonts w:ascii="Book Antiqua" w:hAnsi="Book Antiqua"/>
          <w:lang w:val="sr-Latn-RS"/>
        </w:rPr>
      </w:pPr>
      <w:r w:rsidRPr="00304984">
        <w:rPr>
          <w:rFonts w:ascii="Book Antiqua" w:hAnsi="Book Antiqua"/>
          <w:lang w:val="sr-Latn-RS"/>
        </w:rPr>
        <w:t>U vezi sa vršenjem roditeljskog prava i načelom najboljeg interesa deteta, značajno je istaći i presudu Apelacionog suda u Beogradu</w:t>
      </w:r>
      <w:r w:rsidRPr="00304984">
        <w:rPr>
          <w:rStyle w:val="FootnoteReference"/>
          <w:rFonts w:ascii="Book Antiqua" w:hAnsi="Book Antiqua"/>
          <w:lang w:val="sr-Latn-RS"/>
        </w:rPr>
        <w:footnoteReference w:id="68"/>
      </w:r>
      <w:r w:rsidRPr="00304984">
        <w:rPr>
          <w:rFonts w:ascii="Book Antiqua" w:hAnsi="Book Antiqua"/>
          <w:lang w:val="sr-Latn-RS"/>
        </w:rPr>
        <w:t>, kojom je potvr</w:t>
      </w:r>
      <w:r w:rsidR="008064F5" w:rsidRPr="00304984">
        <w:rPr>
          <w:rFonts w:ascii="Book Antiqua" w:hAnsi="Book Antiqua"/>
          <w:lang w:val="sr-Latn-RS"/>
        </w:rPr>
        <w:t>đena presuda</w:t>
      </w:r>
      <w:r w:rsidRPr="00304984">
        <w:rPr>
          <w:rFonts w:ascii="Book Antiqua" w:hAnsi="Book Antiqua"/>
          <w:lang w:val="sr-Latn-RS"/>
        </w:rPr>
        <w:t xml:space="preserve"> prvostepenog suda</w:t>
      </w:r>
      <w:r w:rsidR="008064F5" w:rsidRPr="00304984">
        <w:rPr>
          <w:rFonts w:ascii="Book Antiqua" w:hAnsi="Book Antiqua"/>
          <w:lang w:val="sr-Latn-RS"/>
        </w:rPr>
        <w:t xml:space="preserve"> </w:t>
      </w:r>
      <w:r w:rsidRPr="00304984">
        <w:rPr>
          <w:rFonts w:ascii="Book Antiqua" w:hAnsi="Book Antiqua"/>
          <w:lang w:val="sr-Latn-RS"/>
        </w:rPr>
        <w:t xml:space="preserve">koji </w:t>
      </w:r>
      <w:r w:rsidR="008064F5" w:rsidRPr="00304984">
        <w:rPr>
          <w:rFonts w:ascii="Book Antiqua" w:hAnsi="Book Antiqua"/>
          <w:lang w:val="sr-Latn-RS"/>
        </w:rPr>
        <w:t>se</w:t>
      </w:r>
      <w:r w:rsidRPr="00304984">
        <w:rPr>
          <w:rFonts w:ascii="Book Antiqua" w:hAnsi="Book Antiqua"/>
          <w:lang w:val="sr-Latn-RS"/>
        </w:rPr>
        <w:t xml:space="preserve"> poz</w:t>
      </w:r>
      <w:r w:rsidR="008064F5" w:rsidRPr="00304984">
        <w:rPr>
          <w:rFonts w:ascii="Book Antiqua" w:hAnsi="Book Antiqua"/>
          <w:lang w:val="sr-Latn-RS"/>
        </w:rPr>
        <w:t>i</w:t>
      </w:r>
      <w:r w:rsidRPr="00304984">
        <w:rPr>
          <w:rFonts w:ascii="Book Antiqua" w:hAnsi="Book Antiqua"/>
          <w:lang w:val="sr-Latn-RS"/>
        </w:rPr>
        <w:t>va</w:t>
      </w:r>
      <w:r w:rsidR="008064F5" w:rsidRPr="00304984">
        <w:rPr>
          <w:rFonts w:ascii="Book Antiqua" w:hAnsi="Book Antiqua"/>
          <w:lang w:val="sr-Latn-RS"/>
        </w:rPr>
        <w:t xml:space="preserve">o </w:t>
      </w:r>
      <w:r w:rsidRPr="00304984">
        <w:rPr>
          <w:rFonts w:ascii="Book Antiqua" w:hAnsi="Book Antiqua"/>
          <w:lang w:val="sr-Latn-RS"/>
        </w:rPr>
        <w:t xml:space="preserve">na odredbe člana 6, stav 1, član 81 i član 266 Porodičnog zakona, kao i članove 2, 3 i 9 Konvencije o pravima deteta, </w:t>
      </w:r>
      <w:r w:rsidR="008064F5" w:rsidRPr="00304984">
        <w:rPr>
          <w:rFonts w:ascii="Book Antiqua" w:hAnsi="Book Antiqua"/>
          <w:lang w:val="sr-Latn-RS"/>
        </w:rPr>
        <w:t xml:space="preserve">te odbio tužbeni zahtev da se tužena u potpunosti liši roditeljskog prava, iz razloga što </w:t>
      </w:r>
      <w:r w:rsidR="008064F5" w:rsidRPr="00304984">
        <w:rPr>
          <w:rFonts w:ascii="Book Antiqua" w:hAnsi="Book Antiqua"/>
          <w:i/>
          <w:lang w:val="sr-Latn-RS"/>
        </w:rPr>
        <w:t xml:space="preserve">„lišavanje roditeljskog prava nije institut u funkciji kažnjavanja roditelja već zaštite najboljeg interesa deteta“ </w:t>
      </w:r>
      <w:r w:rsidR="008064F5" w:rsidRPr="00304984">
        <w:rPr>
          <w:rFonts w:ascii="Book Antiqua" w:hAnsi="Book Antiqua"/>
          <w:lang w:val="sr-Latn-RS"/>
        </w:rPr>
        <w:t>te okolnosti koje ukazuju na nedovoljne roditeljske kompetencije nisu dovoljne da bez utvrđenog postojanja i ostalih razloga predviđenih zakonom, tužena bude u potpunosti lišena roditeljskog prava.</w:t>
      </w:r>
      <w:r w:rsidR="008064F5" w:rsidRPr="00304984">
        <w:rPr>
          <w:rStyle w:val="FootnoteReference"/>
          <w:rFonts w:ascii="Book Antiqua" w:hAnsi="Book Antiqua"/>
          <w:lang w:val="sr-Latn-RS"/>
        </w:rPr>
        <w:footnoteReference w:id="69"/>
      </w:r>
      <w:r>
        <w:rPr>
          <w:rFonts w:ascii="Book Antiqua" w:hAnsi="Book Antiqua"/>
          <w:lang w:val="sr-Latn-RS"/>
        </w:rPr>
        <w:t xml:space="preserve"> </w:t>
      </w:r>
    </w:p>
    <w:p w:rsidR="008703A0" w:rsidRDefault="008703A0" w:rsidP="0051119A">
      <w:pPr>
        <w:pStyle w:val="NoSpacing"/>
        <w:jc w:val="both"/>
        <w:rPr>
          <w:rFonts w:ascii="Book Antiqua" w:hAnsi="Book Antiqua"/>
          <w:lang w:val="sr-Latn-RS"/>
        </w:rPr>
      </w:pPr>
    </w:p>
    <w:p w:rsidR="0051119A" w:rsidRPr="00CB4F95" w:rsidRDefault="0051119A" w:rsidP="0051119A">
      <w:pPr>
        <w:pStyle w:val="NoSpacing"/>
        <w:jc w:val="both"/>
        <w:rPr>
          <w:rFonts w:ascii="Book Antiqua" w:hAnsi="Book Antiqua"/>
          <w:lang w:val="sr-Latn-RS"/>
        </w:rPr>
      </w:pPr>
      <w:r w:rsidRPr="00CB4F95">
        <w:rPr>
          <w:rFonts w:ascii="Book Antiqua" w:hAnsi="Book Antiqua"/>
          <w:lang w:val="sr-Latn-RS"/>
        </w:rPr>
        <w:t>U pr</w:t>
      </w:r>
      <w:r w:rsidR="00E605E4">
        <w:rPr>
          <w:rFonts w:ascii="Book Antiqua" w:hAnsi="Book Antiqua"/>
          <w:lang w:val="sr-Latn-RS"/>
        </w:rPr>
        <w:t>esudama Apelacionih sudova</w:t>
      </w:r>
      <w:r w:rsidRPr="00CB4F95">
        <w:rPr>
          <w:rFonts w:ascii="Book Antiqua" w:hAnsi="Book Antiqua"/>
          <w:lang w:val="sr-Latn-RS"/>
        </w:rPr>
        <w:t xml:space="preserve"> sudije </w:t>
      </w:r>
      <w:r w:rsidR="00E605E4">
        <w:rPr>
          <w:rFonts w:ascii="Book Antiqua" w:hAnsi="Book Antiqua"/>
          <w:lang w:val="sr-Latn-RS"/>
        </w:rPr>
        <w:t xml:space="preserve">se uglavnom </w:t>
      </w:r>
      <w:r w:rsidRPr="00CB4F95">
        <w:rPr>
          <w:rFonts w:ascii="Book Antiqua" w:hAnsi="Book Antiqua"/>
          <w:lang w:val="sr-Latn-RS"/>
        </w:rPr>
        <w:t>osim na odredbe P</w:t>
      </w:r>
      <w:r w:rsidR="002C61D7">
        <w:rPr>
          <w:rFonts w:ascii="Book Antiqua" w:hAnsi="Book Antiqua"/>
          <w:lang w:val="sr-Latn-RS"/>
        </w:rPr>
        <w:t>orodičnog zakona</w:t>
      </w:r>
      <w:r w:rsidRPr="00CB4F95">
        <w:rPr>
          <w:rFonts w:ascii="Book Antiqua" w:hAnsi="Book Antiqua"/>
          <w:lang w:val="sr-Latn-RS"/>
        </w:rPr>
        <w:t xml:space="preserve"> pozivaju i na odredbe Konvencije o pravima deteta i to najčešće kada se u obrazloženju svojih odluka pozivaju na </w:t>
      </w:r>
      <w:r w:rsidRPr="00CB4F95">
        <w:rPr>
          <w:rFonts w:ascii="Book Antiqua" w:hAnsi="Book Antiqua"/>
          <w:u w:val="single"/>
          <w:lang w:val="sr-Latn-RS"/>
        </w:rPr>
        <w:t>najbolji interes deteta</w:t>
      </w:r>
      <w:r w:rsidRPr="00CB4F95">
        <w:rPr>
          <w:rFonts w:ascii="Book Antiqua" w:hAnsi="Book Antiqua"/>
          <w:lang w:val="sr-Latn-RS"/>
        </w:rPr>
        <w:t>- ...“</w:t>
      </w:r>
      <w:r w:rsidRPr="002C61D7">
        <w:rPr>
          <w:rFonts w:ascii="Book Antiqua" w:hAnsi="Book Antiqua"/>
          <w:i/>
          <w:lang w:val="sr-Latn-RS"/>
        </w:rPr>
        <w:t>kao jedan od komplementarnih principa koji proizilazi iz Konvencije o pravima deteta i predstavlja pravni standard koji je uvek u prvom planu kada se odlučuje o zaštiti prava i interesa deteta</w:t>
      </w:r>
      <w:r w:rsidRPr="00CB4F95">
        <w:rPr>
          <w:rFonts w:ascii="Book Antiqua" w:hAnsi="Book Antiqua"/>
          <w:lang w:val="sr-Latn-RS"/>
        </w:rPr>
        <w:t>“... i ceni se prema okolnostima svakog konkretnog slučaja.</w:t>
      </w:r>
      <w:r>
        <w:rPr>
          <w:rStyle w:val="FootnoteReference"/>
          <w:rFonts w:ascii="Book Antiqua" w:hAnsi="Book Antiqua"/>
          <w:lang w:val="sr-Latn-RS"/>
        </w:rPr>
        <w:footnoteReference w:id="70"/>
      </w:r>
    </w:p>
    <w:p w:rsidR="0051119A" w:rsidRPr="00CB4F95" w:rsidRDefault="0051119A" w:rsidP="0051119A">
      <w:pPr>
        <w:pStyle w:val="NoSpacing"/>
        <w:jc w:val="both"/>
        <w:rPr>
          <w:rFonts w:ascii="Book Antiqua" w:hAnsi="Book Antiqua"/>
          <w:lang w:val="sr-Latn-RS"/>
        </w:rPr>
      </w:pPr>
    </w:p>
    <w:p w:rsidR="00E90E7E" w:rsidRDefault="00E90E7E" w:rsidP="00E90E7E">
      <w:pPr>
        <w:pStyle w:val="NoSpacing"/>
        <w:jc w:val="both"/>
        <w:rPr>
          <w:rFonts w:ascii="Book Antiqua" w:hAnsi="Book Antiqua"/>
          <w:lang w:val="sr-Latn-RS"/>
        </w:rPr>
      </w:pPr>
      <w:r w:rsidRPr="00CB4F95">
        <w:rPr>
          <w:rFonts w:ascii="Book Antiqua" w:hAnsi="Book Antiqua"/>
        </w:rPr>
        <w:t xml:space="preserve">U oblasti </w:t>
      </w:r>
      <w:r w:rsidRPr="00CB4F95">
        <w:rPr>
          <w:rFonts w:ascii="Book Antiqua" w:hAnsi="Book Antiqua"/>
          <w:lang w:val="sr-Latn-RS"/>
        </w:rPr>
        <w:t xml:space="preserve">zaštite </w:t>
      </w:r>
      <w:proofErr w:type="gramStart"/>
      <w:r w:rsidRPr="00CB4F95">
        <w:rPr>
          <w:rFonts w:ascii="Book Antiqua" w:hAnsi="Book Antiqua"/>
          <w:lang w:val="sr-Latn-RS"/>
        </w:rPr>
        <w:t>od</w:t>
      </w:r>
      <w:proofErr w:type="gramEnd"/>
      <w:r w:rsidRPr="00CB4F95">
        <w:rPr>
          <w:rFonts w:ascii="Book Antiqua" w:hAnsi="Book Antiqua"/>
          <w:lang w:val="sr-Latn-RS"/>
        </w:rPr>
        <w:t xml:space="preserve"> nasilja nad decom generalno je uočeno da sudovi</w:t>
      </w:r>
      <w:r w:rsidR="00531ED7">
        <w:rPr>
          <w:rFonts w:ascii="Book Antiqua" w:hAnsi="Book Antiqua"/>
          <w:lang w:val="sr-Latn-RS"/>
        </w:rPr>
        <w:t xml:space="preserve"> najčešće</w:t>
      </w:r>
      <w:r w:rsidRPr="00CB4F95">
        <w:rPr>
          <w:rFonts w:ascii="Book Antiqua" w:hAnsi="Book Antiqua"/>
          <w:lang w:val="sr-Latn-RS"/>
        </w:rPr>
        <w:t xml:space="preserve"> u svoje odluke implementiraju odredbe Porodičnog zakona, što je donekle razumljivo s obzirom na njegov sadržaj i pravila koje njegove odredbe propisuju, ali u većini presuda samo i isključivo egzistiraju odredbe Porodičnog zakona. Ovo je na primeru osnovnih sudova ali se situacija ne može generalizovat</w:t>
      </w:r>
      <w:r>
        <w:rPr>
          <w:rFonts w:ascii="Book Antiqua" w:hAnsi="Book Antiqua"/>
          <w:lang w:val="sr-Latn-RS"/>
        </w:rPr>
        <w:t>i, jer ima i pozitivnih primera. M</w:t>
      </w:r>
      <w:r w:rsidRPr="00CB4F95">
        <w:rPr>
          <w:rFonts w:ascii="Book Antiqua" w:hAnsi="Book Antiqua"/>
          <w:lang w:val="sr-Latn-RS"/>
        </w:rPr>
        <w:t>e</w:t>
      </w:r>
      <w:r w:rsidR="00531ED7">
        <w:rPr>
          <w:rFonts w:ascii="Book Antiqua" w:hAnsi="Book Antiqua"/>
          <w:lang w:val="sr-Latn-RS"/>
        </w:rPr>
        <w:t>đutim nikako da se promeni</w:t>
      </w:r>
      <w:r w:rsidRPr="00CB4F95">
        <w:rPr>
          <w:rFonts w:ascii="Book Antiqua" w:hAnsi="Book Antiqua"/>
          <w:lang w:val="sr-Latn-RS"/>
        </w:rPr>
        <w:t xml:space="preserve"> pravilo da primena </w:t>
      </w:r>
      <w:r>
        <w:rPr>
          <w:rFonts w:ascii="Book Antiqua" w:hAnsi="Book Antiqua"/>
          <w:lang w:val="sr-Latn-RS"/>
        </w:rPr>
        <w:t xml:space="preserve">ratifikovanih </w:t>
      </w:r>
      <w:r w:rsidRPr="00CB4F95">
        <w:rPr>
          <w:rFonts w:ascii="Book Antiqua" w:hAnsi="Book Antiqua"/>
          <w:lang w:val="sr-Latn-RS"/>
        </w:rPr>
        <w:t>međunarodnih normi ne može da se ostavlja na slobodnu procenu i izbor samog sudije koji odlučuje</w:t>
      </w:r>
      <w:r>
        <w:rPr>
          <w:rFonts w:ascii="Book Antiqua" w:hAnsi="Book Antiqua"/>
          <w:lang w:val="sr-Latn-RS"/>
        </w:rPr>
        <w:t>,</w:t>
      </w:r>
      <w:r w:rsidRPr="00CB4F95">
        <w:rPr>
          <w:rFonts w:ascii="Book Antiqua" w:hAnsi="Book Antiqua"/>
          <w:lang w:val="sr-Latn-RS"/>
        </w:rPr>
        <w:t xml:space="preserve"> kao i njegov lični senzibilitet, već bi trebalo da se podrazumeva kroz stručnost i znanje.</w:t>
      </w:r>
    </w:p>
    <w:p w:rsidR="00E90E7E" w:rsidRDefault="00E90E7E" w:rsidP="00E90E7E">
      <w:pPr>
        <w:pStyle w:val="NoSpacing"/>
        <w:jc w:val="both"/>
        <w:rPr>
          <w:rFonts w:ascii="Book Antiqua" w:hAnsi="Book Antiqua"/>
          <w:lang w:val="sr-Latn-RS"/>
        </w:rPr>
      </w:pPr>
    </w:p>
    <w:p w:rsidR="00F61F5F" w:rsidRDefault="0051119A" w:rsidP="00F05399">
      <w:pPr>
        <w:spacing w:line="240" w:lineRule="auto"/>
        <w:jc w:val="both"/>
        <w:rPr>
          <w:rFonts w:ascii="Book Antiqua" w:hAnsi="Book Antiqua"/>
          <w:lang w:val="sr-Latn-RS"/>
        </w:rPr>
      </w:pPr>
      <w:r w:rsidRPr="00CB4F95">
        <w:rPr>
          <w:rFonts w:ascii="Book Antiqua" w:hAnsi="Book Antiqua"/>
          <w:lang w:val="sr-Latn-RS"/>
        </w:rPr>
        <w:t>Sa jedne strane, pomaci u primeni propisa u oblasti zaštite od nasilja su vidljivi ali nisu još sasvim dovoljni da bi mogli zaključiti da postoji jedan celovit i dobro organizovan funkcionalan sistem, mehanizam u koji ulaze svi činioci koji se na bilo koji način bave pitanjima zaštite prava i interesa de</w:t>
      </w:r>
      <w:r w:rsidR="002C61D7">
        <w:rPr>
          <w:rFonts w:ascii="Book Antiqua" w:hAnsi="Book Antiqua"/>
          <w:lang w:val="sr-Latn-RS"/>
        </w:rPr>
        <w:t>teta</w:t>
      </w:r>
      <w:r w:rsidRPr="00CB4F95">
        <w:rPr>
          <w:rFonts w:ascii="Book Antiqua" w:hAnsi="Book Antiqua"/>
          <w:lang w:val="sr-Latn-RS"/>
        </w:rPr>
        <w:t>. Ovo iz razloga što nije dovoljno samo puko pozivanje na odredbe međunarodnih dokumenata već je potrebno da država preduzme sve mere kojim će svoje zakonodavstvo i realne situacije u praksi uskladiti i nekako objediniti sa principima koji se moraju poštovati i koji predstavljaju sastavni deo nacionalnog zakonodavstva.</w:t>
      </w:r>
    </w:p>
    <w:p w:rsidR="00177467" w:rsidRDefault="00177467" w:rsidP="00177467">
      <w:pPr>
        <w:pStyle w:val="NoSpacing"/>
        <w:jc w:val="both"/>
        <w:rPr>
          <w:rFonts w:ascii="Book Antiqua" w:hAnsi="Book Antiqua"/>
          <w:lang w:val="sr-Latn-RS"/>
        </w:rPr>
      </w:pPr>
      <w:r w:rsidRPr="00CB4F95">
        <w:rPr>
          <w:rFonts w:ascii="Book Antiqua" w:hAnsi="Book Antiqua"/>
          <w:lang w:val="sr-Latn-RS"/>
        </w:rPr>
        <w:t xml:space="preserve">Sa druge strane, postoje primeri u praksi, da </w:t>
      </w:r>
      <w:r>
        <w:rPr>
          <w:rFonts w:ascii="Book Antiqua" w:hAnsi="Book Antiqua"/>
          <w:lang w:val="sr-Latn-RS"/>
        </w:rPr>
        <w:t>k</w:t>
      </w:r>
      <w:r w:rsidRPr="00CB4F95">
        <w:rPr>
          <w:rFonts w:ascii="Book Antiqua" w:hAnsi="Book Antiqua"/>
          <w:lang w:val="sr-Latn-RS"/>
        </w:rPr>
        <w:t xml:space="preserve">ada sudovi primene neku odredbu njeno tumačenje bude </w:t>
      </w:r>
      <w:r w:rsidR="00C40B9D">
        <w:rPr>
          <w:rFonts w:ascii="Book Antiqua" w:hAnsi="Book Antiqua"/>
          <w:lang w:val="sr-Latn-RS"/>
        </w:rPr>
        <w:t>sporno</w:t>
      </w:r>
      <w:r>
        <w:rPr>
          <w:rFonts w:ascii="Book Antiqua" w:hAnsi="Book Antiqua"/>
          <w:lang w:val="sr-Latn-RS"/>
        </w:rPr>
        <w:t xml:space="preserve"> </w:t>
      </w:r>
      <w:r w:rsidR="00C40B9D">
        <w:rPr>
          <w:rFonts w:ascii="Book Antiqua" w:hAnsi="Book Antiqua"/>
          <w:lang w:val="sr-Latn-RS"/>
        </w:rPr>
        <w:t xml:space="preserve">iako se </w:t>
      </w:r>
      <w:r w:rsidRPr="00CB4F95">
        <w:rPr>
          <w:rFonts w:ascii="Book Antiqua" w:hAnsi="Book Antiqua"/>
          <w:lang w:val="sr-Latn-RS"/>
        </w:rPr>
        <w:t>poziva</w:t>
      </w:r>
      <w:r w:rsidR="00C40B9D">
        <w:rPr>
          <w:rFonts w:ascii="Book Antiqua" w:hAnsi="Book Antiqua"/>
          <w:lang w:val="sr-Latn-RS"/>
        </w:rPr>
        <w:t xml:space="preserve"> na </w:t>
      </w:r>
      <w:r>
        <w:rPr>
          <w:rFonts w:ascii="Book Antiqua" w:hAnsi="Book Antiqua"/>
          <w:lang w:val="sr-Latn-RS"/>
        </w:rPr>
        <w:t>najbolji interes deteta</w:t>
      </w:r>
      <w:r w:rsidRPr="00CB4F95">
        <w:rPr>
          <w:rFonts w:ascii="Book Antiqua" w:hAnsi="Book Antiqua"/>
          <w:lang w:val="sr-Latn-RS"/>
        </w:rPr>
        <w:t>. Tako, Konvenc</w:t>
      </w:r>
      <w:r>
        <w:rPr>
          <w:rFonts w:ascii="Book Antiqua" w:hAnsi="Book Antiqua"/>
          <w:lang w:val="sr-Latn-RS"/>
        </w:rPr>
        <w:t xml:space="preserve">ijom o pravima deteta </w:t>
      </w:r>
      <w:r w:rsidR="002C61D7">
        <w:rPr>
          <w:rFonts w:ascii="Book Antiqua" w:hAnsi="Book Antiqua"/>
          <w:lang w:val="sr-Latn-RS"/>
        </w:rPr>
        <w:t>je p</w:t>
      </w:r>
      <w:r w:rsidRPr="00CB4F95">
        <w:rPr>
          <w:rFonts w:ascii="Book Antiqua" w:hAnsi="Book Antiqua"/>
          <w:lang w:val="sr-Latn-RS"/>
        </w:rPr>
        <w:t xml:space="preserve">ropisano da </w:t>
      </w:r>
      <w:r w:rsidR="002C61D7">
        <w:rPr>
          <w:rFonts w:ascii="Book Antiqua" w:hAnsi="Book Antiqua"/>
          <w:lang w:val="sr-Latn-RS"/>
        </w:rPr>
        <w:t>je</w:t>
      </w:r>
      <w:r w:rsidRPr="00CB4F95">
        <w:rPr>
          <w:rFonts w:ascii="Book Antiqua" w:hAnsi="Book Antiqua"/>
          <w:lang w:val="sr-Latn-RS"/>
        </w:rPr>
        <w:t xml:space="preserve"> u svim aktivnostima koje se tiču dece, bez obzira koja ih institucija sprovodi od prvenstvenog značaja najbolji interes deteta, </w:t>
      </w:r>
      <w:r w:rsidR="002C61D7">
        <w:rPr>
          <w:rFonts w:ascii="Book Antiqua" w:hAnsi="Book Antiqua"/>
          <w:lang w:val="sr-Latn-RS"/>
        </w:rPr>
        <w:t xml:space="preserve">kao i </w:t>
      </w:r>
      <w:r w:rsidRPr="00CB4F95">
        <w:rPr>
          <w:rFonts w:ascii="Book Antiqua" w:hAnsi="Book Antiqua"/>
          <w:lang w:val="sr-Latn-RS"/>
        </w:rPr>
        <w:t>da će se detetu obezbediti takva zaštita i briga koja je neophodna za njegovu dobrobit uzimajući u obzir prava i obaveze njegovih roditelja i drugih lica koja su za to dete odgovorna.</w:t>
      </w:r>
      <w:r w:rsidR="002C61D7">
        <w:rPr>
          <w:rStyle w:val="FootnoteReference"/>
          <w:rFonts w:ascii="Book Antiqua" w:hAnsi="Book Antiqua"/>
          <w:lang w:val="sr-Latn-RS"/>
        </w:rPr>
        <w:footnoteReference w:id="71"/>
      </w:r>
    </w:p>
    <w:p w:rsidR="00177467" w:rsidRDefault="00177467" w:rsidP="00177467">
      <w:pPr>
        <w:pStyle w:val="NoSpacing"/>
        <w:jc w:val="both"/>
        <w:rPr>
          <w:rFonts w:ascii="Book Antiqua" w:hAnsi="Book Antiqua"/>
          <w:lang w:val="sr-Latn-RS"/>
        </w:rPr>
      </w:pPr>
    </w:p>
    <w:p w:rsidR="00B96965" w:rsidRDefault="00177467" w:rsidP="00177467">
      <w:pPr>
        <w:pStyle w:val="NoSpacing"/>
        <w:jc w:val="both"/>
        <w:rPr>
          <w:rFonts w:ascii="Book Antiqua" w:hAnsi="Book Antiqua"/>
          <w:lang w:val="sr-Latn-RS"/>
        </w:rPr>
      </w:pPr>
      <w:r w:rsidRPr="00B96965">
        <w:rPr>
          <w:rFonts w:ascii="Book Antiqua" w:hAnsi="Book Antiqua"/>
          <w:lang w:val="sr-Latn-RS"/>
        </w:rPr>
        <w:t xml:space="preserve">Međutim postoje i primeri iz prakse kada se na prvi pogled primenjuje veći broj međunarodnih dokumenata, ali </w:t>
      </w:r>
      <w:r w:rsidR="00B96965" w:rsidRPr="00B96965">
        <w:rPr>
          <w:rFonts w:ascii="Book Antiqua" w:hAnsi="Book Antiqua"/>
          <w:lang w:val="sr-Latn-RS"/>
        </w:rPr>
        <w:t>se to svodi samo na čistu deklaraciju njenih odredbi, bez obzira da li je primenom istih postignut i krajnji cilj, a to je najbolja zaštita prava i interesa deteta.</w:t>
      </w:r>
    </w:p>
    <w:p w:rsidR="00674B1A" w:rsidRDefault="00674B1A" w:rsidP="00177467">
      <w:pPr>
        <w:pStyle w:val="NoSpacing"/>
        <w:jc w:val="both"/>
        <w:rPr>
          <w:rFonts w:ascii="Book Antiqua" w:hAnsi="Book Antiqua"/>
          <w:lang w:val="sr-Latn-RS"/>
        </w:rPr>
      </w:pPr>
    </w:p>
    <w:p w:rsidR="002E7B41" w:rsidRDefault="00177467" w:rsidP="0075237E">
      <w:pPr>
        <w:pStyle w:val="NoSpacing"/>
        <w:jc w:val="both"/>
        <w:rPr>
          <w:rFonts w:ascii="Book Antiqua" w:hAnsi="Book Antiqua"/>
          <w:highlight w:val="lightGray"/>
          <w:lang w:val="sr-Latn-RS"/>
        </w:rPr>
      </w:pPr>
      <w:r w:rsidRPr="002E7B41">
        <w:rPr>
          <w:rFonts w:ascii="Book Antiqua" w:hAnsi="Book Antiqua"/>
          <w:lang w:val="sr-Latn-RS"/>
        </w:rPr>
        <w:t>Takav jedan primer predstavlja i slučaj V.A.M.</w:t>
      </w:r>
      <w:r w:rsidRPr="002E7B41">
        <w:rPr>
          <w:rStyle w:val="FootnoteReference"/>
          <w:rFonts w:ascii="Book Antiqua" w:hAnsi="Book Antiqua"/>
          <w:lang w:val="sr-Latn-RS"/>
        </w:rPr>
        <w:footnoteReference w:id="72"/>
      </w:r>
      <w:r w:rsidRPr="002E7B41">
        <w:rPr>
          <w:rFonts w:ascii="Book Antiqua" w:hAnsi="Book Antiqua"/>
          <w:lang w:val="sr-Latn-RS"/>
        </w:rPr>
        <w:t xml:space="preserve">, odnosno jedan od mnogobrojnih postupaka pokrenutih pred nacionalnim sudom neposredno pre donošenja odluke Evropskog suda za ljudska prava. </w:t>
      </w:r>
      <w:r w:rsidR="00282F2D" w:rsidRPr="002E7B41">
        <w:rPr>
          <w:rFonts w:ascii="Book Antiqua" w:hAnsi="Book Antiqua"/>
          <w:lang w:val="sr-Latn-RS"/>
        </w:rPr>
        <w:t>Otac maloletnog deteta je osuđen za krivično delo oduzimanje maloletnog lica u krivičnom postupku ko</w:t>
      </w:r>
      <w:r w:rsidR="002E7B41" w:rsidRPr="002E7B41">
        <w:rPr>
          <w:rFonts w:ascii="Book Antiqua" w:hAnsi="Book Antiqua"/>
          <w:lang w:val="sr-Latn-RS"/>
        </w:rPr>
        <w:t>ji se vodio protiv njega, dok</w:t>
      </w:r>
      <w:r w:rsidR="00282F2D" w:rsidRPr="002E7B41">
        <w:rPr>
          <w:rFonts w:ascii="Book Antiqua" w:hAnsi="Book Antiqua"/>
          <w:lang w:val="sr-Latn-RS"/>
        </w:rPr>
        <w:t xml:space="preserve"> u postupku za lišenje roditeljskog prava </w:t>
      </w:r>
      <w:r w:rsidR="002E7B41" w:rsidRPr="002E7B41">
        <w:rPr>
          <w:rFonts w:ascii="Book Antiqua" w:hAnsi="Book Antiqua"/>
          <w:lang w:val="sr-Latn-RS"/>
        </w:rPr>
        <w:t xml:space="preserve">sud nije oca lišio roditeljskog prava </w:t>
      </w:r>
      <w:r w:rsidR="002E7B41" w:rsidRPr="002E7B41">
        <w:rPr>
          <w:rFonts w:ascii="Book Antiqua" w:hAnsi="Book Antiqua"/>
          <w:u w:val="single"/>
          <w:lang w:val="sr-Latn-RS"/>
        </w:rPr>
        <w:t>rukovodeći se najboljim interesom deteta.</w:t>
      </w:r>
      <w:r w:rsidR="002E7B41" w:rsidRPr="002E7B41">
        <w:rPr>
          <w:rStyle w:val="FootnoteReference"/>
          <w:rFonts w:ascii="Book Antiqua" w:hAnsi="Book Antiqua"/>
          <w:lang w:val="sr-Latn-RS"/>
        </w:rPr>
        <w:footnoteReference w:id="73"/>
      </w:r>
      <w:r w:rsidR="002E7B41" w:rsidRPr="002E7B41">
        <w:rPr>
          <w:rFonts w:ascii="Book Antiqua" w:hAnsi="Book Antiqua"/>
          <w:lang w:val="sr-Latn-RS"/>
        </w:rPr>
        <w:t xml:space="preserve">  </w:t>
      </w:r>
      <w:r w:rsidR="0075237E" w:rsidRPr="002E7B41">
        <w:rPr>
          <w:rFonts w:ascii="Book Antiqua" w:hAnsi="Book Antiqua"/>
          <w:lang w:val="sr-Latn-RS"/>
        </w:rPr>
        <w:t xml:space="preserve">Ovakva presuda </w:t>
      </w:r>
      <w:r w:rsidR="002E7B41" w:rsidRPr="002E7B41">
        <w:rPr>
          <w:rFonts w:ascii="Book Antiqua" w:hAnsi="Book Antiqua"/>
          <w:lang w:val="sr-Latn-RS"/>
        </w:rPr>
        <w:t>predstavlja</w:t>
      </w:r>
      <w:r w:rsidR="0075237E" w:rsidRPr="002E7B41">
        <w:rPr>
          <w:rFonts w:ascii="Book Antiqua" w:hAnsi="Book Antiqua"/>
          <w:lang w:val="sr-Latn-RS"/>
        </w:rPr>
        <w:t xml:space="preserve"> apsurd, jer provlači samo deklarativno zaštitu najboljeg interesa deteta i konstatuje da bi čak i pored svih dokaza i utvrđenih činjenica da je otac nasilno odvojio dete od majke i nije dozvoljavao kontinuirani niz godina bilo kakvu vrstu kontakta, i pored krivične osude zbog krivičnog dela oduzimanja maloletnog lica, kao i  mere korektivnog nadzora nad vršenjem roditeljskog prava, njegovo sankcionisanje lišenjem roditeljskog prava suštinski bi bilo „</w:t>
      </w:r>
      <w:r w:rsidR="0075237E" w:rsidRPr="00C40B9D">
        <w:rPr>
          <w:rFonts w:ascii="Book Antiqua" w:hAnsi="Book Antiqua"/>
          <w:i/>
          <w:lang w:val="sr-Latn-RS"/>
        </w:rPr>
        <w:t>oduzimanje prava da neposredno živi sa ocem...</w:t>
      </w:r>
      <w:r w:rsidR="0075237E" w:rsidRPr="002E7B41">
        <w:rPr>
          <w:rFonts w:ascii="Book Antiqua" w:hAnsi="Book Antiqua"/>
          <w:lang w:val="sr-Latn-RS"/>
        </w:rPr>
        <w:t xml:space="preserve">“ potpuno zanemarujući da je ovom detetu već uskraćeno pravo na majku kao drugog roditelja, pravo da zna ko mu je drugi roditelj i niz drugih prava koje </w:t>
      </w:r>
      <w:r w:rsidR="002E7B41" w:rsidRPr="002E7B41">
        <w:rPr>
          <w:rFonts w:ascii="Book Antiqua" w:hAnsi="Book Antiqua"/>
          <w:lang w:val="sr-Latn-RS"/>
        </w:rPr>
        <w:t>bi</w:t>
      </w:r>
      <w:r w:rsidR="0075237E" w:rsidRPr="002E7B41">
        <w:rPr>
          <w:rFonts w:ascii="Book Antiqua" w:hAnsi="Book Antiqua"/>
          <w:lang w:val="sr-Latn-RS"/>
        </w:rPr>
        <w:t xml:space="preserve"> trebalo </w:t>
      </w:r>
      <w:r w:rsidR="002E7B41" w:rsidRPr="002E7B41">
        <w:rPr>
          <w:rFonts w:ascii="Book Antiqua" w:hAnsi="Book Antiqua"/>
          <w:lang w:val="sr-Latn-RS"/>
        </w:rPr>
        <w:t xml:space="preserve">da </w:t>
      </w:r>
      <w:r w:rsidR="0075237E" w:rsidRPr="002E7B41">
        <w:rPr>
          <w:rFonts w:ascii="Book Antiqua" w:hAnsi="Book Antiqua"/>
          <w:lang w:val="sr-Latn-RS"/>
        </w:rPr>
        <w:t>sudovi zaštite upravo u najboljem interesu maloletnog deteta. Svim postupcima oca</w:t>
      </w:r>
      <w:r w:rsidR="000648BF" w:rsidRPr="002E7B41">
        <w:rPr>
          <w:rFonts w:ascii="Book Antiqua" w:hAnsi="Book Antiqua"/>
          <w:lang w:val="sr-Latn-RS"/>
        </w:rPr>
        <w:t xml:space="preserve"> je</w:t>
      </w:r>
      <w:r w:rsidR="0075237E" w:rsidRPr="002E7B41">
        <w:rPr>
          <w:rFonts w:ascii="Book Antiqua" w:hAnsi="Book Antiqua"/>
          <w:lang w:val="sr-Latn-RS"/>
        </w:rPr>
        <w:t xml:space="preserve"> ovo dete bilo emocionalno zlostavljano, a sve institucije koje su učestvovale u ovim postupcima nisu adekvatno prepoznale posebne vidove nasilja, naročito emocionalnog, psihičkog i nisu bile ni dovoljno edukovane ni međusobno usklađene da bi u ovom slučaju interes i prava deteta bili na najbolji mogući način zaštićeni. </w:t>
      </w:r>
      <w:r w:rsidR="000648BF" w:rsidRPr="002E7B41">
        <w:rPr>
          <w:rFonts w:ascii="Book Antiqua" w:hAnsi="Book Antiqua"/>
          <w:lang w:val="sr-Latn-RS"/>
        </w:rPr>
        <w:t>Evropski sud za ljudska prava je u</w:t>
      </w:r>
      <w:r w:rsidR="0075237E" w:rsidRPr="002E7B41">
        <w:rPr>
          <w:rFonts w:ascii="Book Antiqua" w:hAnsi="Book Antiqua"/>
          <w:lang w:val="sr-Latn-RS"/>
        </w:rPr>
        <w:t xml:space="preserve"> slučaju V.A.M. doneo odluku o povredi prava garantovanih Evropskom konvencijom za zaštitu ljudskih prava i osnovnih sloboda, prava garantovanih čl.6.</w:t>
      </w:r>
      <w:r w:rsidR="000648BF" w:rsidRPr="002E7B41">
        <w:rPr>
          <w:rStyle w:val="FootnoteReference"/>
          <w:rFonts w:ascii="Book Antiqua" w:hAnsi="Book Antiqua"/>
          <w:lang w:val="sr-Latn-RS"/>
        </w:rPr>
        <w:footnoteReference w:id="74"/>
      </w:r>
      <w:r w:rsidR="0075237E" w:rsidRPr="002E7B41">
        <w:rPr>
          <w:rFonts w:ascii="Book Antiqua" w:hAnsi="Book Antiqua"/>
          <w:lang w:val="sr-Latn-RS"/>
        </w:rPr>
        <w:t>, povredu prava iz č</w:t>
      </w:r>
      <w:r w:rsidR="000648BF" w:rsidRPr="002E7B41">
        <w:rPr>
          <w:rFonts w:ascii="Book Antiqua" w:hAnsi="Book Antiqua"/>
          <w:lang w:val="sr-Latn-RS"/>
        </w:rPr>
        <w:t>l.13.</w:t>
      </w:r>
      <w:r w:rsidR="000648BF" w:rsidRPr="002E7B41">
        <w:rPr>
          <w:rStyle w:val="FootnoteReference"/>
          <w:rFonts w:ascii="Book Antiqua" w:hAnsi="Book Antiqua"/>
          <w:lang w:val="sr-Latn-RS"/>
        </w:rPr>
        <w:footnoteReference w:id="75"/>
      </w:r>
      <w:r w:rsidR="000648BF" w:rsidRPr="002E7B41">
        <w:rPr>
          <w:rFonts w:ascii="Book Antiqua" w:hAnsi="Book Antiqua"/>
          <w:lang w:val="sr-Latn-RS"/>
        </w:rPr>
        <w:t xml:space="preserve"> </w:t>
      </w:r>
      <w:r w:rsidR="0075237E" w:rsidRPr="002E7B41">
        <w:rPr>
          <w:rFonts w:ascii="Book Antiqua" w:hAnsi="Book Antiqua"/>
          <w:lang w:val="sr-Latn-RS"/>
        </w:rPr>
        <w:t>i povredu prava iz čl.8.</w:t>
      </w:r>
      <w:r w:rsidR="000648BF" w:rsidRPr="002E7B41">
        <w:rPr>
          <w:rStyle w:val="FootnoteReference"/>
          <w:rFonts w:ascii="Book Antiqua" w:hAnsi="Book Antiqua"/>
          <w:lang w:val="sr-Latn-RS"/>
        </w:rPr>
        <w:footnoteReference w:id="76"/>
      </w:r>
      <w:r w:rsidR="000648BF" w:rsidRPr="002E7B41">
        <w:rPr>
          <w:rFonts w:ascii="Book Antiqua" w:hAnsi="Book Antiqua"/>
          <w:lang w:val="sr-Latn-RS"/>
        </w:rPr>
        <w:t xml:space="preserve">. </w:t>
      </w:r>
      <w:r w:rsidR="0075237E" w:rsidRPr="00287FB2">
        <w:rPr>
          <w:rFonts w:ascii="Book Antiqua" w:hAnsi="Book Antiqua"/>
          <w:lang w:val="sr-Latn-RS"/>
        </w:rPr>
        <w:t xml:space="preserve">Slučaj V.A.M. je posledica jednog nefunkcionalnog pravnog sistema u kome nisu bili povezani svi segmenti društva koji se bave i odlučuju o pitanjima zaštite prava i interesa deteta, ali je posledica </w:t>
      </w:r>
      <w:r w:rsidR="002E7B41" w:rsidRPr="00287FB2">
        <w:rPr>
          <w:rFonts w:ascii="Book Antiqua" w:hAnsi="Book Antiqua"/>
          <w:lang w:val="sr-Latn-RS"/>
        </w:rPr>
        <w:t xml:space="preserve">i </w:t>
      </w:r>
      <w:r w:rsidR="0075237E" w:rsidRPr="00287FB2">
        <w:rPr>
          <w:rFonts w:ascii="Book Antiqua" w:hAnsi="Book Antiqua"/>
          <w:lang w:val="sr-Latn-RS"/>
        </w:rPr>
        <w:t xml:space="preserve">grešaka u sistemu </w:t>
      </w:r>
      <w:r w:rsidR="000648BF" w:rsidRPr="00287FB2">
        <w:rPr>
          <w:rFonts w:ascii="Book Antiqua" w:hAnsi="Book Antiqua"/>
          <w:lang w:val="sr-Latn-RS"/>
        </w:rPr>
        <w:t>Republike Srbije</w:t>
      </w:r>
      <w:r w:rsidR="002E7B41" w:rsidRPr="00287FB2">
        <w:rPr>
          <w:rFonts w:ascii="Book Antiqua" w:hAnsi="Book Antiqua"/>
          <w:lang w:val="sr-Latn-RS"/>
        </w:rPr>
        <w:t>.</w:t>
      </w:r>
      <w:r w:rsidR="00287FB2" w:rsidRPr="00287FB2">
        <w:rPr>
          <w:rFonts w:ascii="Book Antiqua" w:hAnsi="Book Antiqua"/>
          <w:lang w:val="sr-Latn-RS"/>
        </w:rPr>
        <w:t xml:space="preserve"> Navedena p</w:t>
      </w:r>
      <w:r w:rsidR="002E7B41" w:rsidRPr="00287FB2">
        <w:rPr>
          <w:rFonts w:ascii="Book Antiqua" w:hAnsi="Book Antiqua"/>
          <w:lang w:val="sr-Latn-RS"/>
        </w:rPr>
        <w:t xml:space="preserve">resuda </w:t>
      </w:r>
      <w:r w:rsidR="00287FB2" w:rsidRPr="00287FB2">
        <w:rPr>
          <w:rFonts w:ascii="Book Antiqua" w:hAnsi="Book Antiqua"/>
          <w:lang w:val="sr-Latn-RS"/>
        </w:rPr>
        <w:t xml:space="preserve">Evropskog suda za ljudska prava, iako veoma značajna jer prepoznaje </w:t>
      </w:r>
      <w:r w:rsidR="00287FB2">
        <w:rPr>
          <w:rFonts w:ascii="Book Antiqua" w:hAnsi="Book Antiqua"/>
          <w:lang w:val="sr-Latn-RS"/>
        </w:rPr>
        <w:t xml:space="preserve">neusklađenosti </w:t>
      </w:r>
      <w:r w:rsidR="00287FB2" w:rsidRPr="00287FB2">
        <w:rPr>
          <w:rFonts w:ascii="Book Antiqua" w:hAnsi="Book Antiqua"/>
          <w:lang w:val="sr-Latn-RS"/>
        </w:rPr>
        <w:t>u pravnom sistemu Srbije,</w:t>
      </w:r>
      <w:r w:rsidR="002E7B41" w:rsidRPr="00287FB2">
        <w:rPr>
          <w:rFonts w:ascii="Book Antiqua" w:hAnsi="Book Antiqua"/>
          <w:lang w:val="sr-Latn-RS"/>
        </w:rPr>
        <w:t xml:space="preserve"> </w:t>
      </w:r>
      <w:r w:rsidR="00D431E4">
        <w:rPr>
          <w:rFonts w:ascii="Book Antiqua" w:hAnsi="Book Antiqua"/>
          <w:lang w:val="sr-Latn-RS"/>
        </w:rPr>
        <w:t xml:space="preserve">trebalo je da posluži kao prekretnica u svim drugim sličnim slučajevima, međutim </w:t>
      </w:r>
      <w:r w:rsidR="0075237E" w:rsidRPr="00287FB2">
        <w:rPr>
          <w:rFonts w:ascii="Book Antiqua" w:hAnsi="Book Antiqua"/>
          <w:lang w:val="sr-Latn-RS"/>
        </w:rPr>
        <w:t xml:space="preserve">nije </w:t>
      </w:r>
      <w:r w:rsidR="00D431E4">
        <w:rPr>
          <w:rFonts w:ascii="Book Antiqua" w:hAnsi="Book Antiqua"/>
          <w:lang w:val="sr-Latn-RS"/>
        </w:rPr>
        <w:t xml:space="preserve">značajno </w:t>
      </w:r>
      <w:r w:rsidR="002E7B41" w:rsidRPr="00287FB2">
        <w:rPr>
          <w:rFonts w:ascii="Book Antiqua" w:hAnsi="Book Antiqua"/>
          <w:lang w:val="sr-Latn-RS"/>
        </w:rPr>
        <w:t>doprinela uspostavljanju boljeg sistema zaštite prava i interesa deteta</w:t>
      </w:r>
      <w:r w:rsidR="00D431E4">
        <w:rPr>
          <w:rFonts w:ascii="Book Antiqua" w:hAnsi="Book Antiqua"/>
          <w:lang w:val="sr-Latn-RS"/>
        </w:rPr>
        <w:t xml:space="preserve"> na nacionalnom nivou</w:t>
      </w:r>
      <w:r w:rsidR="00674B1A">
        <w:rPr>
          <w:rFonts w:ascii="Book Antiqua" w:hAnsi="Book Antiqua"/>
          <w:lang w:val="sr-Latn-RS"/>
        </w:rPr>
        <w:t xml:space="preserve">, na šta ukazuje i ne tako mali broj ostalih presuda donetih </w:t>
      </w:r>
      <w:r w:rsidR="00E620B2">
        <w:rPr>
          <w:rFonts w:ascii="Book Antiqua" w:hAnsi="Book Antiqua"/>
          <w:lang w:val="sr-Latn-RS"/>
        </w:rPr>
        <w:t xml:space="preserve">nakon slučaja V.A.M. </w:t>
      </w:r>
      <w:r w:rsidR="00674B1A">
        <w:rPr>
          <w:rFonts w:ascii="Book Antiqua" w:hAnsi="Book Antiqua"/>
          <w:lang w:val="sr-Latn-RS"/>
        </w:rPr>
        <w:t>od strane ESLJP protiv Republike Srbije</w:t>
      </w:r>
      <w:r w:rsidR="002E7B41" w:rsidRPr="00287FB2">
        <w:rPr>
          <w:rFonts w:ascii="Book Antiqua" w:hAnsi="Book Antiqua"/>
          <w:lang w:val="sr-Latn-RS"/>
        </w:rPr>
        <w:t xml:space="preserve">. </w:t>
      </w:r>
    </w:p>
    <w:p w:rsidR="0075237E" w:rsidRPr="00CB4F95" w:rsidRDefault="0075237E" w:rsidP="0075237E">
      <w:pPr>
        <w:pStyle w:val="NoSpacing"/>
        <w:jc w:val="both"/>
        <w:rPr>
          <w:rFonts w:ascii="Book Antiqua" w:hAnsi="Book Antiqua"/>
          <w:lang w:val="sr-Latn-RS"/>
        </w:rPr>
      </w:pPr>
    </w:p>
    <w:p w:rsidR="00030C29" w:rsidRPr="00CB4F95" w:rsidRDefault="004F6887" w:rsidP="00030C29">
      <w:pPr>
        <w:autoSpaceDE w:val="0"/>
        <w:autoSpaceDN w:val="0"/>
        <w:adjustRightInd w:val="0"/>
        <w:spacing w:after="0" w:line="240" w:lineRule="auto"/>
        <w:jc w:val="both"/>
        <w:rPr>
          <w:rFonts w:ascii="Book Antiqua" w:hAnsi="Book Antiqua" w:cs="PalatinoLinotype"/>
        </w:rPr>
      </w:pPr>
      <w:r>
        <w:rPr>
          <w:rFonts w:ascii="Book Antiqua" w:hAnsi="Book Antiqua" w:cs="PalatinoLinotype"/>
        </w:rPr>
        <w:t xml:space="preserve">Dalje, </w:t>
      </w:r>
      <w:r w:rsidR="00030C29" w:rsidRPr="004F6887">
        <w:rPr>
          <w:rFonts w:ascii="Book Antiqua" w:hAnsi="Book Antiqua" w:cs="PalatinoLinotype"/>
          <w:b/>
        </w:rPr>
        <w:t>Istanbulska konvencija</w:t>
      </w:r>
      <w:r w:rsidR="00030C29" w:rsidRPr="00B377F0">
        <w:rPr>
          <w:rFonts w:ascii="Book Antiqua" w:hAnsi="Book Antiqua" w:cs="PalatinoLinotype"/>
        </w:rPr>
        <w:t xml:space="preserve"> predviđa da prilikom dodele starateljstva i prava </w:t>
      </w:r>
      <w:proofErr w:type="gramStart"/>
      <w:r w:rsidR="00030C29" w:rsidRPr="00B377F0">
        <w:rPr>
          <w:rFonts w:ascii="Book Antiqua" w:hAnsi="Book Antiqua" w:cs="PalatinoLinotype"/>
        </w:rPr>
        <w:t>na</w:t>
      </w:r>
      <w:proofErr w:type="gramEnd"/>
      <w:r w:rsidR="00030C29" w:rsidRPr="00B377F0">
        <w:rPr>
          <w:rFonts w:ascii="Book Antiqua" w:hAnsi="Book Antiqua" w:cs="PalatinoLinotype"/>
        </w:rPr>
        <w:t xml:space="preserve"> posetu dece</w:t>
      </w:r>
      <w:r w:rsidR="00B96965" w:rsidRPr="00B377F0">
        <w:rPr>
          <w:rFonts w:ascii="Book Antiqua" w:hAnsi="Book Antiqua" w:cs="PalatinoLinotype"/>
        </w:rPr>
        <w:t>, slučajevi nasilja obuhvaćeni K</w:t>
      </w:r>
      <w:r w:rsidR="00030C29" w:rsidRPr="00B377F0">
        <w:rPr>
          <w:rFonts w:ascii="Book Antiqua" w:hAnsi="Book Antiqua" w:cs="PalatinoLinotype"/>
        </w:rPr>
        <w:t>onvencijom budu uzeti u obzir.</w:t>
      </w:r>
      <w:r w:rsidR="00030C29" w:rsidRPr="00B377F0">
        <w:rPr>
          <w:rStyle w:val="FootnoteReference"/>
          <w:rFonts w:ascii="Book Antiqua" w:hAnsi="Book Antiqua" w:cs="PalatinoLinotype"/>
        </w:rPr>
        <w:footnoteReference w:id="77"/>
      </w:r>
      <w:r w:rsidR="00030C29" w:rsidRPr="00B377F0">
        <w:rPr>
          <w:rFonts w:ascii="Book Antiqua" w:hAnsi="Book Antiqua" w:cs="PalatinoLinotype"/>
        </w:rPr>
        <w:t xml:space="preserve"> Međutim, posebno ističemo obavezu države da preduzme neophodne zakonodavne odnosno druge mere kako bi obezbedile da ostvarivanje svakog prava </w:t>
      </w:r>
      <w:proofErr w:type="gramStart"/>
      <w:r w:rsidR="00030C29" w:rsidRPr="00B377F0">
        <w:rPr>
          <w:rFonts w:ascii="Book Antiqua" w:hAnsi="Book Antiqua" w:cs="PalatinoLinotype"/>
        </w:rPr>
        <w:t>na</w:t>
      </w:r>
      <w:proofErr w:type="gramEnd"/>
      <w:r w:rsidR="00030C29" w:rsidRPr="00B377F0">
        <w:rPr>
          <w:rFonts w:ascii="Book Antiqua" w:hAnsi="Book Antiqua" w:cs="PalatinoLinotype"/>
        </w:rPr>
        <w:t xml:space="preserve"> posetu odnosno starateljstvo ne ugrozi prava o bezbednost žrtve odnosno dece.</w:t>
      </w:r>
      <w:r w:rsidR="00030C29" w:rsidRPr="00B377F0">
        <w:rPr>
          <w:rStyle w:val="FootnoteReference"/>
          <w:rFonts w:ascii="Book Antiqua" w:hAnsi="Book Antiqua" w:cs="PalatinoLinotype"/>
        </w:rPr>
        <w:footnoteReference w:id="78"/>
      </w:r>
      <w:r w:rsidR="00A91A5B" w:rsidRPr="00B377F0">
        <w:rPr>
          <w:rFonts w:ascii="Book Antiqua" w:hAnsi="Book Antiqua" w:cs="PalatinoLinotype"/>
        </w:rPr>
        <w:t xml:space="preserve"> </w:t>
      </w:r>
      <w:proofErr w:type="gramStart"/>
      <w:r w:rsidR="00030C29" w:rsidRPr="00B377F0">
        <w:rPr>
          <w:rFonts w:ascii="Book Antiqua" w:hAnsi="Book Antiqua" w:cs="PalatinoLinotype"/>
        </w:rPr>
        <w:t>Upravo se ova obaveza u praksi ne primenjuje, iz razloga</w:t>
      </w:r>
      <w:r w:rsidR="00030C29" w:rsidRPr="00CB4F95">
        <w:rPr>
          <w:rFonts w:ascii="Book Antiqua" w:hAnsi="Book Antiqua" w:cs="PalatinoLinotype"/>
        </w:rPr>
        <w:t xml:space="preserve">  nerešeno</w:t>
      </w:r>
      <w:r w:rsidR="00030C29">
        <w:rPr>
          <w:rFonts w:ascii="Book Antiqua" w:hAnsi="Book Antiqua" w:cs="PalatinoLinotype"/>
        </w:rPr>
        <w:t>g</w:t>
      </w:r>
      <w:r w:rsidR="00030C29" w:rsidRPr="00CB4F95">
        <w:rPr>
          <w:rFonts w:ascii="Book Antiqua" w:hAnsi="Book Antiqua" w:cs="PalatinoLinotype"/>
        </w:rPr>
        <w:t xml:space="preserve"> pitanj</w:t>
      </w:r>
      <w:r w:rsidR="00030C29">
        <w:rPr>
          <w:rFonts w:ascii="Book Antiqua" w:hAnsi="Book Antiqua" w:cs="PalatinoLinotype"/>
        </w:rPr>
        <w:t>a</w:t>
      </w:r>
      <w:r w:rsidR="00030C29" w:rsidRPr="00CB4F95">
        <w:rPr>
          <w:rFonts w:ascii="Book Antiqua" w:hAnsi="Book Antiqua" w:cs="PalatinoLinotype"/>
        </w:rPr>
        <w:t xml:space="preserve"> u situacijama kada je do nasilja u porodici došlo nakon pravnosnažnosti odluke o razvodu braka i vršenja roditeljskog prava, a tom istom odlukom utvrđeno je da otac, kao roditelj sa kojim dete ne živi, ima pravo da održava lični kontakt sa mal</w:t>
      </w:r>
      <w:r w:rsidR="00030C29">
        <w:rPr>
          <w:rFonts w:ascii="Book Antiqua" w:hAnsi="Book Antiqua" w:cs="PalatinoLinotype"/>
        </w:rPr>
        <w:t xml:space="preserve">oletnim </w:t>
      </w:r>
      <w:r w:rsidR="00030C29" w:rsidRPr="00CB4F95">
        <w:rPr>
          <w:rFonts w:ascii="Book Antiqua" w:hAnsi="Book Antiqua" w:cs="PalatinoLinotype"/>
        </w:rPr>
        <w:t xml:space="preserve">detetom po dogovoru sa majkom </w:t>
      </w:r>
      <w:r w:rsidR="00030C29">
        <w:rPr>
          <w:rFonts w:ascii="Book Antiqua" w:hAnsi="Book Antiqua" w:cs="PalatinoLinotype"/>
        </w:rPr>
        <w:t>i</w:t>
      </w:r>
      <w:r w:rsidR="00030C29" w:rsidRPr="00CB4F95">
        <w:rPr>
          <w:rFonts w:ascii="Book Antiqua" w:hAnsi="Book Antiqua" w:cs="PalatinoLinotype"/>
        </w:rPr>
        <w:t xml:space="preserve"> uz obavezno njeno prisustvo.</w:t>
      </w:r>
      <w:proofErr w:type="gramEnd"/>
      <w:r w:rsidR="00030C29" w:rsidRPr="00CB4F95">
        <w:rPr>
          <w:rFonts w:ascii="Book Antiqua" w:hAnsi="Book Antiqua" w:cs="PalatinoLinotype"/>
        </w:rPr>
        <w:t xml:space="preserve"> U situaciji kada je </w:t>
      </w:r>
      <w:proofErr w:type="gramStart"/>
      <w:r w:rsidR="00030C29" w:rsidRPr="00CB4F95">
        <w:rPr>
          <w:rFonts w:ascii="Book Antiqua" w:hAnsi="Book Antiqua" w:cs="PalatinoLinotype"/>
        </w:rPr>
        <w:t>od</w:t>
      </w:r>
      <w:proofErr w:type="gramEnd"/>
      <w:r w:rsidR="00030C29" w:rsidRPr="00CB4F95">
        <w:rPr>
          <w:rFonts w:ascii="Book Antiqua" w:hAnsi="Book Antiqua" w:cs="PalatinoLinotype"/>
        </w:rPr>
        <w:t xml:space="preserve"> strane oca došlo do n</w:t>
      </w:r>
      <w:r w:rsidR="00B377F0">
        <w:rPr>
          <w:rFonts w:ascii="Book Antiqua" w:hAnsi="Book Antiqua" w:cs="PalatinoLinotype"/>
        </w:rPr>
        <w:t>asilja nad majkom koja je</w:t>
      </w:r>
      <w:r w:rsidR="00030C29" w:rsidRPr="00CB4F95">
        <w:rPr>
          <w:rFonts w:ascii="Book Antiqua" w:hAnsi="Book Antiqua" w:cs="PalatinoLinotype"/>
        </w:rPr>
        <w:t xml:space="preserve"> obavestila nadležni Centar za socijalni rad da </w:t>
      </w:r>
      <w:r w:rsidR="00B029BC">
        <w:rPr>
          <w:rFonts w:ascii="Book Antiqua" w:hAnsi="Book Antiqua" w:cs="PalatinoLinotype"/>
        </w:rPr>
        <w:t>u skladu sa takvim okolnostima i</w:t>
      </w:r>
      <w:r w:rsidR="00030C29" w:rsidRPr="00CB4F95">
        <w:rPr>
          <w:rFonts w:ascii="Book Antiqua" w:hAnsi="Book Antiqua" w:cs="PalatinoLinotype"/>
        </w:rPr>
        <w:t xml:space="preserve"> učinjenim nasiljem kome je prisustvovalo </w:t>
      </w:r>
      <w:r w:rsidR="00B029BC">
        <w:rPr>
          <w:rFonts w:ascii="Book Antiqua" w:hAnsi="Book Antiqua" w:cs="PalatinoLinotype"/>
        </w:rPr>
        <w:t>i</w:t>
      </w:r>
      <w:r w:rsidR="00030C29" w:rsidRPr="00CB4F95">
        <w:rPr>
          <w:rFonts w:ascii="Book Antiqua" w:hAnsi="Book Antiqua" w:cs="PalatinoLinotype"/>
        </w:rPr>
        <w:t xml:space="preserve"> mal</w:t>
      </w:r>
      <w:r w:rsidR="00B029BC">
        <w:rPr>
          <w:rFonts w:ascii="Book Antiqua" w:hAnsi="Book Antiqua" w:cs="PalatinoLinotype"/>
        </w:rPr>
        <w:t xml:space="preserve">oletno </w:t>
      </w:r>
      <w:r w:rsidR="00030C29" w:rsidRPr="00CB4F95">
        <w:rPr>
          <w:rFonts w:ascii="Book Antiqua" w:hAnsi="Book Antiqua" w:cs="PalatinoLinotype"/>
        </w:rPr>
        <w:t xml:space="preserve">dete, ne može da postupi po do tada utvrđenom modelu viđanja jer bi praktično dovela </w:t>
      </w:r>
      <w:r w:rsidR="00B029BC">
        <w:rPr>
          <w:rFonts w:ascii="Book Antiqua" w:hAnsi="Book Antiqua" w:cs="PalatinoLinotype"/>
        </w:rPr>
        <w:t>i</w:t>
      </w:r>
      <w:r w:rsidR="00030C29" w:rsidRPr="00CB4F95">
        <w:rPr>
          <w:rFonts w:ascii="Book Antiqua" w:hAnsi="Book Antiqua" w:cs="PalatinoLinotype"/>
        </w:rPr>
        <w:t xml:space="preserve"> sebe </w:t>
      </w:r>
      <w:r w:rsidR="00B029BC">
        <w:rPr>
          <w:rFonts w:ascii="Book Antiqua" w:hAnsi="Book Antiqua" w:cs="PalatinoLinotype"/>
        </w:rPr>
        <w:t>i</w:t>
      </w:r>
      <w:r w:rsidR="00030C29" w:rsidRPr="00CB4F95">
        <w:rPr>
          <w:rFonts w:ascii="Book Antiqua" w:hAnsi="Book Antiqua" w:cs="PalatinoLinotype"/>
        </w:rPr>
        <w:t xml:space="preserve"> dete u opasnost od </w:t>
      </w:r>
      <w:r w:rsidR="00B029BC">
        <w:rPr>
          <w:rFonts w:ascii="Book Antiqua" w:hAnsi="Book Antiqua" w:cs="PalatinoLinotype"/>
        </w:rPr>
        <w:t xml:space="preserve">ponovnog </w:t>
      </w:r>
      <w:r w:rsidR="00030C29" w:rsidRPr="00CB4F95">
        <w:rPr>
          <w:rFonts w:ascii="Book Antiqua" w:hAnsi="Book Antiqua" w:cs="PalatinoLinotype"/>
        </w:rPr>
        <w:t>nasilja.</w:t>
      </w:r>
      <w:r w:rsidR="00B029BC">
        <w:rPr>
          <w:rFonts w:ascii="Book Antiqua" w:hAnsi="Book Antiqua" w:cs="PalatinoLinotype"/>
        </w:rPr>
        <w:t xml:space="preserve"> </w:t>
      </w:r>
      <w:r w:rsidR="00030C29" w:rsidRPr="00CB4F95">
        <w:rPr>
          <w:rFonts w:ascii="Book Antiqua" w:hAnsi="Book Antiqua" w:cs="PalatinoLinotype"/>
        </w:rPr>
        <w:t xml:space="preserve">Međutim, Centar za socijalni rad bio je mišljenja da majka ima obavezu da nastavi da dovodi dete ocu </w:t>
      </w:r>
      <w:proofErr w:type="gramStart"/>
      <w:r w:rsidR="00030C29" w:rsidRPr="00CB4F95">
        <w:rPr>
          <w:rFonts w:ascii="Book Antiqua" w:hAnsi="Book Antiqua" w:cs="PalatinoLinotype"/>
        </w:rPr>
        <w:t>na</w:t>
      </w:r>
      <w:proofErr w:type="gramEnd"/>
      <w:r w:rsidR="00030C29" w:rsidRPr="00CB4F95">
        <w:rPr>
          <w:rFonts w:ascii="Book Antiqua" w:hAnsi="Book Antiqua" w:cs="PalatinoLinotype"/>
        </w:rPr>
        <w:t xml:space="preserve"> viđanje</w:t>
      </w:r>
      <w:r w:rsidR="00B029BC">
        <w:rPr>
          <w:rFonts w:ascii="Book Antiqua" w:hAnsi="Book Antiqua" w:cs="PalatinoLinotype"/>
        </w:rPr>
        <w:t>,</w:t>
      </w:r>
      <w:r w:rsidR="00030C29" w:rsidRPr="00CB4F95">
        <w:rPr>
          <w:rFonts w:ascii="Book Antiqua" w:hAnsi="Book Antiqua" w:cs="PalatinoLinotype"/>
        </w:rPr>
        <w:t xml:space="preserve"> bez obzira što je otac izvršio čin nasilja.</w:t>
      </w:r>
      <w:r w:rsidR="00B029BC">
        <w:rPr>
          <w:rStyle w:val="FootnoteReference"/>
          <w:rFonts w:ascii="Book Antiqua" w:hAnsi="Book Antiqua" w:cs="PalatinoLinotype"/>
        </w:rPr>
        <w:footnoteReference w:id="79"/>
      </w:r>
    </w:p>
    <w:p w:rsidR="00030C29" w:rsidRPr="00CB4F95" w:rsidRDefault="00030C29" w:rsidP="00030C29">
      <w:pPr>
        <w:autoSpaceDE w:val="0"/>
        <w:autoSpaceDN w:val="0"/>
        <w:adjustRightInd w:val="0"/>
        <w:spacing w:after="0" w:line="240" w:lineRule="auto"/>
        <w:jc w:val="both"/>
        <w:rPr>
          <w:rFonts w:ascii="Book Antiqua" w:hAnsi="Book Antiqua" w:cs="PalatinoLinotype"/>
        </w:rPr>
      </w:pPr>
    </w:p>
    <w:p w:rsidR="00030C29" w:rsidRDefault="00030C29" w:rsidP="00030C29">
      <w:pPr>
        <w:autoSpaceDE w:val="0"/>
        <w:autoSpaceDN w:val="0"/>
        <w:adjustRightInd w:val="0"/>
        <w:spacing w:after="0" w:line="240" w:lineRule="auto"/>
        <w:jc w:val="both"/>
        <w:rPr>
          <w:rFonts w:ascii="Book Antiqua" w:hAnsi="Book Antiqua" w:cs="PalatinoLinotype"/>
        </w:rPr>
      </w:pPr>
      <w:r w:rsidRPr="00CB4F95">
        <w:rPr>
          <w:rFonts w:ascii="Book Antiqua" w:hAnsi="Book Antiqua" w:cs="PalatinoLinotype"/>
        </w:rPr>
        <w:t xml:space="preserve">Identičan problem postoji </w:t>
      </w:r>
      <w:r w:rsidR="00B029BC">
        <w:rPr>
          <w:rFonts w:ascii="Book Antiqua" w:hAnsi="Book Antiqua" w:cs="PalatinoLinotype"/>
        </w:rPr>
        <w:t>i</w:t>
      </w:r>
      <w:r w:rsidRPr="00CB4F95">
        <w:rPr>
          <w:rFonts w:ascii="Book Antiqua" w:hAnsi="Book Antiqua" w:cs="PalatinoLinotype"/>
        </w:rPr>
        <w:t xml:space="preserve"> pred sudovima koji vode postupke za razvod </w:t>
      </w:r>
      <w:r w:rsidR="00B029BC">
        <w:rPr>
          <w:rFonts w:ascii="Book Antiqua" w:hAnsi="Book Antiqua" w:cs="PalatinoLinotype"/>
        </w:rPr>
        <w:t>i</w:t>
      </w:r>
      <w:r w:rsidRPr="00CB4F95">
        <w:rPr>
          <w:rFonts w:ascii="Book Antiqua" w:hAnsi="Book Antiqua" w:cs="PalatinoLinotype"/>
        </w:rPr>
        <w:t xml:space="preserve"> dodelu starateljstva </w:t>
      </w:r>
      <w:proofErr w:type="gramStart"/>
      <w:r w:rsidRPr="00CB4F95">
        <w:rPr>
          <w:rFonts w:ascii="Book Antiqua" w:hAnsi="Book Antiqua" w:cs="PalatinoLinotype"/>
        </w:rPr>
        <w:t>nad</w:t>
      </w:r>
      <w:proofErr w:type="gramEnd"/>
      <w:r w:rsidRPr="00CB4F95">
        <w:rPr>
          <w:rFonts w:ascii="Book Antiqua" w:hAnsi="Book Antiqua" w:cs="PalatinoLinotype"/>
        </w:rPr>
        <w:t xml:space="preserve"> decom tj. </w:t>
      </w:r>
      <w:r w:rsidR="00B029BC">
        <w:rPr>
          <w:rFonts w:ascii="Book Antiqua" w:hAnsi="Book Antiqua" w:cs="PalatinoLinotype"/>
        </w:rPr>
        <w:t>v</w:t>
      </w:r>
      <w:r w:rsidRPr="00CB4F95">
        <w:rPr>
          <w:rFonts w:ascii="Book Antiqua" w:hAnsi="Book Antiqua" w:cs="PalatinoLinotype"/>
        </w:rPr>
        <w:t>ršenje roditeljskog prava, kada ne uzimaju u obzir da se paralelno sa parničnim postupkom vo</w:t>
      </w:r>
      <w:r w:rsidR="00B029BC">
        <w:rPr>
          <w:rFonts w:ascii="Book Antiqua" w:hAnsi="Book Antiqua" w:cs="PalatinoLinotype"/>
        </w:rPr>
        <w:t>d</w:t>
      </w:r>
      <w:r w:rsidRPr="00CB4F95">
        <w:rPr>
          <w:rFonts w:ascii="Book Antiqua" w:hAnsi="Book Antiqua" w:cs="PalatinoLinotype"/>
        </w:rPr>
        <w:t>i</w:t>
      </w:r>
      <w:r w:rsidR="00B029BC">
        <w:rPr>
          <w:rFonts w:ascii="Book Antiqua" w:hAnsi="Book Antiqua" w:cs="PalatinoLinotype"/>
        </w:rPr>
        <w:t xml:space="preserve"> i</w:t>
      </w:r>
      <w:r w:rsidRPr="00CB4F95">
        <w:rPr>
          <w:rFonts w:ascii="Book Antiqua" w:hAnsi="Book Antiqua" w:cs="PalatinoLinotype"/>
        </w:rPr>
        <w:t xml:space="preserve"> krivični postupak za </w:t>
      </w:r>
      <w:r w:rsidR="00B029BC">
        <w:rPr>
          <w:rFonts w:ascii="Book Antiqua" w:hAnsi="Book Antiqua" w:cs="PalatinoLinotype"/>
        </w:rPr>
        <w:t>n</w:t>
      </w:r>
      <w:r w:rsidRPr="00CB4F95">
        <w:rPr>
          <w:rFonts w:ascii="Book Antiqua" w:hAnsi="Book Antiqua" w:cs="PalatinoLinotype"/>
        </w:rPr>
        <w:t xml:space="preserve">asilje u porodici, kao </w:t>
      </w:r>
      <w:r w:rsidR="00B029BC">
        <w:rPr>
          <w:rFonts w:ascii="Book Antiqua" w:hAnsi="Book Antiqua" w:cs="PalatinoLinotype"/>
        </w:rPr>
        <w:t>i</w:t>
      </w:r>
      <w:r w:rsidRPr="00CB4F95">
        <w:rPr>
          <w:rFonts w:ascii="Book Antiqua" w:hAnsi="Book Antiqua" w:cs="PalatinoLinotype"/>
        </w:rPr>
        <w:t xml:space="preserve"> kada pored određenih</w:t>
      </w:r>
      <w:r w:rsidR="00B029BC">
        <w:rPr>
          <w:rFonts w:ascii="Book Antiqua" w:hAnsi="Book Antiqua" w:cs="PalatinoLinotype"/>
        </w:rPr>
        <w:t xml:space="preserve"> mera zaštite zabrane prilaska i</w:t>
      </w:r>
      <w:r w:rsidRPr="00CB4F95">
        <w:rPr>
          <w:rFonts w:ascii="Book Antiqua" w:hAnsi="Book Antiqua" w:cs="PalatinoLinotype"/>
        </w:rPr>
        <w:t xml:space="preserve"> zabrane daljeg uznemiravanja člana porodice</w:t>
      </w:r>
      <w:r w:rsidR="00B029BC">
        <w:rPr>
          <w:rFonts w:ascii="Book Antiqua" w:hAnsi="Book Antiqua" w:cs="PalatinoLinotype"/>
        </w:rPr>
        <w:t>,</w:t>
      </w:r>
      <w:r w:rsidRPr="00CB4F95">
        <w:rPr>
          <w:rFonts w:ascii="Book Antiqua" w:hAnsi="Book Antiqua" w:cs="PalatinoLinotype"/>
        </w:rPr>
        <w:t xml:space="preserve"> donose privremene mere ili odluke da nasilnik ima pravo da održava lične odnose sa mal</w:t>
      </w:r>
      <w:r w:rsidR="00B029BC">
        <w:rPr>
          <w:rFonts w:ascii="Book Antiqua" w:hAnsi="Book Antiqua" w:cs="PalatinoLinotype"/>
        </w:rPr>
        <w:t xml:space="preserve">oletnom </w:t>
      </w:r>
      <w:r w:rsidRPr="00CB4F95">
        <w:rPr>
          <w:rFonts w:ascii="Book Antiqua" w:hAnsi="Book Antiqua" w:cs="PalatinoLinotype"/>
        </w:rPr>
        <w:t xml:space="preserve">decom koje će žrtva nasilja dovoditi </w:t>
      </w:r>
      <w:r w:rsidR="00B029BC">
        <w:rPr>
          <w:rFonts w:ascii="Book Antiqua" w:hAnsi="Book Antiqua" w:cs="PalatinoLinotype"/>
        </w:rPr>
        <w:t>i</w:t>
      </w:r>
      <w:r w:rsidRPr="00CB4F95">
        <w:rPr>
          <w:rFonts w:ascii="Book Antiqua" w:hAnsi="Book Antiqua" w:cs="PalatinoLinotype"/>
        </w:rPr>
        <w:t xml:space="preserve"> odvoditi </w:t>
      </w:r>
      <w:r w:rsidR="00B029BC">
        <w:rPr>
          <w:rFonts w:ascii="Book Antiqua" w:hAnsi="Book Antiqua" w:cs="PalatinoLinotype"/>
        </w:rPr>
        <w:t>sa</w:t>
      </w:r>
      <w:r w:rsidRPr="00CB4F95">
        <w:rPr>
          <w:rFonts w:ascii="Book Antiqua" w:hAnsi="Book Antiqua" w:cs="PalatinoLinotype"/>
        </w:rPr>
        <w:t xml:space="preserve"> viđanj</w:t>
      </w:r>
      <w:r w:rsidR="00B029BC">
        <w:rPr>
          <w:rFonts w:ascii="Book Antiqua" w:hAnsi="Book Antiqua" w:cs="PalatinoLinotype"/>
        </w:rPr>
        <w:t>a</w:t>
      </w:r>
      <w:r w:rsidRPr="00CB4F95">
        <w:rPr>
          <w:rFonts w:ascii="Book Antiqua" w:hAnsi="Book Antiqua" w:cs="PalatinoLinotype"/>
        </w:rPr>
        <w:t xml:space="preserve"> sa </w:t>
      </w:r>
      <w:r w:rsidR="00B029BC">
        <w:rPr>
          <w:rFonts w:ascii="Book Antiqua" w:hAnsi="Book Antiqua" w:cs="PalatinoLinotype"/>
        </w:rPr>
        <w:t>drugim roditeljem (nasilnikom).</w:t>
      </w:r>
      <w:r w:rsidR="00B029BC">
        <w:rPr>
          <w:rStyle w:val="FootnoteReference"/>
          <w:rFonts w:ascii="Book Antiqua" w:hAnsi="Book Antiqua" w:cs="PalatinoLinotype"/>
        </w:rPr>
        <w:footnoteReference w:id="80"/>
      </w:r>
    </w:p>
    <w:p w:rsidR="002C5537" w:rsidRDefault="002C5537" w:rsidP="00030C29">
      <w:pPr>
        <w:autoSpaceDE w:val="0"/>
        <w:autoSpaceDN w:val="0"/>
        <w:adjustRightInd w:val="0"/>
        <w:spacing w:after="0" w:line="240" w:lineRule="auto"/>
        <w:jc w:val="both"/>
        <w:rPr>
          <w:rFonts w:ascii="Book Antiqua" w:hAnsi="Book Antiqua" w:cs="PalatinoLinotype"/>
        </w:rPr>
      </w:pPr>
    </w:p>
    <w:p w:rsidR="002C5537" w:rsidRDefault="002C5537" w:rsidP="00030C29">
      <w:pPr>
        <w:autoSpaceDE w:val="0"/>
        <w:autoSpaceDN w:val="0"/>
        <w:adjustRightInd w:val="0"/>
        <w:spacing w:after="0" w:line="240" w:lineRule="auto"/>
        <w:jc w:val="both"/>
        <w:rPr>
          <w:rFonts w:ascii="Book Antiqua" w:hAnsi="Book Antiqua" w:cs="PalatinoLinotype"/>
        </w:rPr>
      </w:pPr>
      <w:r w:rsidRPr="00E4045D">
        <w:rPr>
          <w:rFonts w:ascii="Book Antiqua" w:hAnsi="Book Antiqua" w:cs="PalatinoLinotype"/>
        </w:rPr>
        <w:t>Vrhovni kasacioni sud je u svojoj</w:t>
      </w:r>
      <w:r w:rsidR="00E620B2" w:rsidRPr="00E4045D">
        <w:rPr>
          <w:rFonts w:ascii="Book Antiqua" w:hAnsi="Book Antiqua" w:cs="PalatinoLinotype"/>
        </w:rPr>
        <w:t xml:space="preserve"> presudi iz 2015.godine utvrdio</w:t>
      </w:r>
      <w:r w:rsidRPr="00E4045D">
        <w:rPr>
          <w:rFonts w:ascii="Book Antiqua" w:hAnsi="Book Antiqua" w:cs="PalatinoLinotype"/>
        </w:rPr>
        <w:t xml:space="preserve"> da su nižestepeni sudovi pravilno primenili materijalno pravo kada su okolnost da je tužilac izvršio nasilje u porodici, cenili i u skladu </w:t>
      </w:r>
      <w:proofErr w:type="gramStart"/>
      <w:r w:rsidRPr="00E4045D">
        <w:rPr>
          <w:rFonts w:ascii="Book Antiqua" w:hAnsi="Book Antiqua" w:cs="PalatinoLinotype"/>
        </w:rPr>
        <w:t>sa</w:t>
      </w:r>
      <w:proofErr w:type="gramEnd"/>
      <w:r w:rsidRPr="00E4045D">
        <w:rPr>
          <w:rFonts w:ascii="Book Antiqua" w:hAnsi="Book Antiqua" w:cs="PalatinoLinotype"/>
        </w:rPr>
        <w:t xml:space="preserve"> tim utvrdili način održavanja ličnih kontakata dece sa ocem. U konkretnom slučaju, uzet je u obzir vremenski period za koji je izrečena mera zaštite od nasilja, da tužilac nakon događaja usled kog je izrečena mera nije izvršio ponovno nasilje ni prema tužilji ni prema deci, kao i činjenica da tužilac nije lišen roditeljskog prava, te da mu se to pravo ne može uskratiti odlukom kojom se uređuje način viđanja roditelja sa detetom. </w:t>
      </w:r>
      <w:r w:rsidR="004D6174" w:rsidRPr="00E4045D">
        <w:rPr>
          <w:rFonts w:ascii="Book Antiqua" w:hAnsi="Book Antiqua" w:cs="PalatinoLinotype"/>
        </w:rPr>
        <w:t xml:space="preserve">S druge strane, okolnost da se protiv tužioca vodi krivični postupak za nasilje u porodici povodom istog događaja, ne utiče </w:t>
      </w:r>
      <w:proofErr w:type="gramStart"/>
      <w:r w:rsidR="004D6174" w:rsidRPr="00E4045D">
        <w:rPr>
          <w:rFonts w:ascii="Book Antiqua" w:hAnsi="Book Antiqua" w:cs="PalatinoLinotype"/>
        </w:rPr>
        <w:t>na</w:t>
      </w:r>
      <w:proofErr w:type="gramEnd"/>
      <w:r w:rsidR="004D6174" w:rsidRPr="00E4045D">
        <w:rPr>
          <w:rFonts w:ascii="Book Antiqua" w:hAnsi="Book Antiqua" w:cs="PalatinoLinotype"/>
        </w:rPr>
        <w:t xml:space="preserve"> odluku o viđanju dece s obzirom da ne postoji pravnosnažna presuda (prezumpcija nevinosti), odnosno da mu nije ograničeno pravo na viđanje deteta. Međutim dalje se navodi da je neophodno održavanje kontakta i dobrog odnosa dece </w:t>
      </w:r>
      <w:proofErr w:type="gramStart"/>
      <w:r w:rsidR="004D6174" w:rsidRPr="00E4045D">
        <w:rPr>
          <w:rFonts w:ascii="Book Antiqua" w:hAnsi="Book Antiqua" w:cs="PalatinoLinotype"/>
        </w:rPr>
        <w:t>sa</w:t>
      </w:r>
      <w:proofErr w:type="gramEnd"/>
      <w:r w:rsidR="004D6174" w:rsidRPr="00E4045D">
        <w:rPr>
          <w:rFonts w:ascii="Book Antiqua" w:hAnsi="Book Antiqua" w:cs="PalatinoLinotype"/>
        </w:rPr>
        <w:t xml:space="preserve"> oba roditelja kako bi se ona razvila u socijalno, emotivno i psihofizički zdrave osobe, a što predstavlja jedan od bitnih interesa deteta koji mora biti zadovoljen.</w:t>
      </w:r>
      <w:r w:rsidR="004D6174" w:rsidRPr="00E4045D">
        <w:rPr>
          <w:rStyle w:val="FootnoteReference"/>
          <w:rFonts w:ascii="Book Antiqua" w:hAnsi="Book Antiqua" w:cs="PalatinoLinotype"/>
        </w:rPr>
        <w:footnoteReference w:id="81"/>
      </w:r>
      <w:r w:rsidR="004D6174">
        <w:rPr>
          <w:rFonts w:ascii="Book Antiqua" w:hAnsi="Book Antiqua" w:cs="PalatinoLinotype"/>
        </w:rPr>
        <w:t xml:space="preserve">  </w:t>
      </w:r>
    </w:p>
    <w:p w:rsidR="002C5537" w:rsidRDefault="002C5537" w:rsidP="00030C29">
      <w:pPr>
        <w:autoSpaceDE w:val="0"/>
        <w:autoSpaceDN w:val="0"/>
        <w:adjustRightInd w:val="0"/>
        <w:spacing w:after="0" w:line="240" w:lineRule="auto"/>
        <w:jc w:val="both"/>
        <w:rPr>
          <w:rFonts w:ascii="Book Antiqua" w:hAnsi="Book Antiqua" w:cs="PalatinoLinotype"/>
        </w:rPr>
      </w:pPr>
    </w:p>
    <w:p w:rsidR="00D5149A" w:rsidRPr="0052081B" w:rsidRDefault="008D6641" w:rsidP="00D5149A">
      <w:pPr>
        <w:spacing w:line="240" w:lineRule="auto"/>
        <w:jc w:val="both"/>
        <w:rPr>
          <w:rFonts w:ascii="Book Antiqua" w:hAnsi="Book Antiqua" w:cs="PalatinoLinotype"/>
          <w:lang w:val="sr-Latn-RS"/>
        </w:rPr>
      </w:pPr>
      <w:r w:rsidRPr="0052081B">
        <w:rPr>
          <w:rFonts w:ascii="Book Antiqua" w:hAnsi="Book Antiqua" w:cs="PalatinoLinotype"/>
        </w:rPr>
        <w:t xml:space="preserve">Dodatno, uočen je problem u praksi da prilikom zahteva za davanjem nalaza i mišljenja u porodičnim stvarima sudovi određuju Centar za socijalni rad koji je već učesnik u postupku, odnosno dešava se da odrede onaj organ starateljstva koji je na primer pokrenuo postupak za lišenje roditeljskog prava, te se kao problem javlja činjenica da se mišljenje traži od organa koji ima direktni interes u postupku. </w:t>
      </w:r>
      <w:r w:rsidR="00D5149A" w:rsidRPr="0052081B">
        <w:rPr>
          <w:rFonts w:ascii="Book Antiqua" w:hAnsi="Book Antiqua" w:cs="PalatinoLinotype"/>
        </w:rPr>
        <w:t>Konkretno, Vrho</w:t>
      </w:r>
      <w:r w:rsidR="00D5149A" w:rsidRPr="0052081B">
        <w:rPr>
          <w:rFonts w:ascii="Book Antiqua" w:hAnsi="Book Antiqua" w:cs="PalatinoLinotype"/>
          <w:lang w:val="sr-Latn-RS"/>
        </w:rPr>
        <w:t>vni kasacioni sud, odlučujući o reviziji tuženog izjavljenoj protiv presude Apelacionog suda u Novom Sadu Gž2 261/2015, našao je da je revizija osnovana, te je doneo Rešenje o usvajanju iste i ukidanju presude Apelacionog suda, iz razloga što „</w:t>
      </w:r>
      <w:r w:rsidR="00D5149A" w:rsidRPr="0052081B">
        <w:rPr>
          <w:rFonts w:ascii="Book Antiqua" w:hAnsi="Book Antiqua" w:cs="PalatinoLinotype"/>
          <w:i/>
          <w:lang w:val="sr-Latn-RS"/>
        </w:rPr>
        <w:t xml:space="preserve">odluku o osnovanosti tužbenog zahteva sud ne može da donese na osnovu nalaza i mišljenja Centra za socijalni rad koji je u toj parnici istovremeno i tužilac i koji je postavio tužbeni zahtev čije usvajanje predlaže“ </w:t>
      </w:r>
      <w:r w:rsidR="00D5149A" w:rsidRPr="0052081B">
        <w:rPr>
          <w:rFonts w:ascii="Book Antiqua" w:hAnsi="Book Antiqua" w:cs="PalatinoLinotype"/>
          <w:lang w:val="sr-Latn-RS"/>
        </w:rPr>
        <w:t>jer kada obe uloge obavlja isto lice, odnosno isti organ starateljstva, postoji sukob interesa u postupanju tog organa.</w:t>
      </w:r>
      <w:r w:rsidR="00D5149A" w:rsidRPr="0052081B">
        <w:rPr>
          <w:rStyle w:val="FootnoteReference"/>
          <w:rFonts w:ascii="Book Antiqua" w:hAnsi="Book Antiqua" w:cs="PalatinoLinotype"/>
          <w:lang w:val="sr-Latn-RS"/>
        </w:rPr>
        <w:footnoteReference w:id="82"/>
      </w:r>
      <w:r w:rsidR="00D5149A" w:rsidRPr="0052081B">
        <w:rPr>
          <w:rFonts w:ascii="Book Antiqua" w:hAnsi="Book Antiqua" w:cs="PalatinoLinotype"/>
          <w:lang w:val="sr-Latn-RS"/>
        </w:rPr>
        <w:t xml:space="preserve"> </w:t>
      </w:r>
    </w:p>
    <w:p w:rsidR="00A34BC4" w:rsidRDefault="00357AF9" w:rsidP="00030C29">
      <w:pPr>
        <w:spacing w:line="240" w:lineRule="auto"/>
        <w:jc w:val="both"/>
        <w:rPr>
          <w:rFonts w:ascii="Book Antiqua" w:hAnsi="Book Antiqua" w:cs="PalatinoLinotype"/>
        </w:rPr>
      </w:pPr>
      <w:r w:rsidRPr="00D40C13">
        <w:rPr>
          <w:rFonts w:ascii="Book Antiqua" w:hAnsi="Book Antiqua" w:cs="PalatinoLinotype"/>
        </w:rPr>
        <w:t>Ističemo i</w:t>
      </w:r>
      <w:r w:rsidR="00A34BC4" w:rsidRPr="00D40C13">
        <w:rPr>
          <w:rFonts w:ascii="Book Antiqua" w:hAnsi="Book Antiqua" w:cs="PalatinoLinotype"/>
        </w:rPr>
        <w:t xml:space="preserve"> stav Vrhovnog kasacionog suda iz presude Rev 289/2016, koji glasi: </w:t>
      </w:r>
      <w:r w:rsidR="00A34BC4" w:rsidRPr="00D40C13">
        <w:rPr>
          <w:rFonts w:ascii="Book Antiqua" w:hAnsi="Book Antiqua" w:cs="PalatinoLinotype"/>
          <w:i/>
        </w:rPr>
        <w:t xml:space="preserve">“da bi se radilo o nasilju u porodici, mora postojati jasna granica između žrtve i nasilnika, pri čemu je clan porodice - žrtva nasilja, podređena i nemoćna u odnosu na člana porodice koji se smatra nasilnikom, koji voljno, drsko, bezobzirno i zlonamernim ponašanjem ugrožava telesni integritet, duševno zdravlje i spokojstvo drugog člana porodice (žrtve). Razgraničenje između nasilnika i žrtve u porodičnom okruženju </w:t>
      </w:r>
      <w:proofErr w:type="gramStart"/>
      <w:r w:rsidR="00A34BC4" w:rsidRPr="00D40C13">
        <w:rPr>
          <w:rFonts w:ascii="Book Antiqua" w:hAnsi="Book Antiqua" w:cs="PalatinoLinotype"/>
          <w:i/>
        </w:rPr>
        <w:t>od</w:t>
      </w:r>
      <w:proofErr w:type="gramEnd"/>
      <w:r w:rsidR="00A34BC4" w:rsidRPr="00D40C13">
        <w:rPr>
          <w:rFonts w:ascii="Book Antiqua" w:hAnsi="Book Antiqua" w:cs="PalatinoLinotype"/>
          <w:i/>
        </w:rPr>
        <w:t xml:space="preserve"> uticaja je kako na utvrđe</w:t>
      </w:r>
      <w:r w:rsidR="006D3919" w:rsidRPr="00D40C13">
        <w:rPr>
          <w:rFonts w:ascii="Book Antiqua" w:hAnsi="Book Antiqua" w:cs="PalatinoLinotype"/>
          <w:i/>
        </w:rPr>
        <w:t>nje postojanja nasilja u porodic</w:t>
      </w:r>
      <w:r w:rsidR="00A34BC4" w:rsidRPr="00D40C13">
        <w:rPr>
          <w:rFonts w:ascii="Book Antiqua" w:hAnsi="Book Antiqua" w:cs="PalatinoLinotype"/>
          <w:i/>
        </w:rPr>
        <w:t>i, tako i za određivanje adekvatne mere zaštite od nasilja, čija je svrha sprečavanje i prestanak takvog ponašanja koje predstavlja nasilje.”</w:t>
      </w:r>
      <w:r w:rsidR="00A34BC4" w:rsidRPr="00D40C13">
        <w:rPr>
          <w:rStyle w:val="FootnoteReference"/>
          <w:rFonts w:ascii="Book Antiqua" w:hAnsi="Book Antiqua" w:cs="PalatinoLinotype"/>
          <w:i/>
        </w:rPr>
        <w:footnoteReference w:id="83"/>
      </w:r>
      <w:r w:rsidR="003277C7" w:rsidRPr="00D40C13">
        <w:rPr>
          <w:rFonts w:ascii="Book Antiqua" w:hAnsi="Book Antiqua" w:cs="PalatinoLinotype"/>
          <w:i/>
        </w:rPr>
        <w:t xml:space="preserve"> </w:t>
      </w:r>
      <w:r w:rsidR="003277C7" w:rsidRPr="00D40C13">
        <w:rPr>
          <w:rFonts w:ascii="Book Antiqua" w:hAnsi="Book Antiqua" w:cs="PalatinoLinotype"/>
        </w:rPr>
        <w:t xml:space="preserve">Isto tako, </w:t>
      </w:r>
      <w:r w:rsidR="00F20F8E" w:rsidRPr="00D40C13">
        <w:rPr>
          <w:rFonts w:ascii="Book Antiqua" w:hAnsi="Book Antiqua" w:cs="PalatinoLinotype"/>
        </w:rPr>
        <w:t xml:space="preserve">i </w:t>
      </w:r>
      <w:r w:rsidR="003277C7" w:rsidRPr="00D40C13">
        <w:rPr>
          <w:rFonts w:ascii="Book Antiqua" w:hAnsi="Book Antiqua" w:cs="PalatinoLinotype"/>
        </w:rPr>
        <w:t>u presudi Rev 2114/2015</w:t>
      </w:r>
      <w:r w:rsidR="003277C7" w:rsidRPr="00D40C13">
        <w:rPr>
          <w:rStyle w:val="FootnoteReference"/>
          <w:rFonts w:ascii="Book Antiqua" w:hAnsi="Book Antiqua" w:cs="PalatinoLinotype"/>
        </w:rPr>
        <w:footnoteReference w:id="84"/>
      </w:r>
      <w:r w:rsidR="003277C7" w:rsidRPr="00D40C13">
        <w:rPr>
          <w:rFonts w:ascii="Book Antiqua" w:hAnsi="Book Antiqua" w:cs="PalatinoLinotype"/>
        </w:rPr>
        <w:t xml:space="preserve">. </w:t>
      </w:r>
      <w:r w:rsidR="00A34BC4" w:rsidRPr="00D40C13">
        <w:rPr>
          <w:rFonts w:ascii="Book Antiqua" w:hAnsi="Book Antiqua" w:cs="PalatinoLinotype"/>
        </w:rPr>
        <w:t>Naime, zakonom je propisan krug lica koji spadaju u članove porodice i nasilje u porodici definiše kao nasilan čin člana porodice prema drugom članu porodice, nepredviđajući postojanje određenog odnosa “podređenosti”. Ovakvo tumačenje može dovesti do pogrešne primene, odnosno do selektivne primene odredbi Krivičnog zakona koje se tiču nasilja u porodici.</w:t>
      </w:r>
      <w:r w:rsidR="00A34BC4">
        <w:rPr>
          <w:rFonts w:ascii="Book Antiqua" w:hAnsi="Book Antiqua" w:cs="PalatinoLinotype"/>
        </w:rPr>
        <w:t xml:space="preserve"> </w:t>
      </w:r>
    </w:p>
    <w:p w:rsidR="00213355" w:rsidRDefault="00F20F8E" w:rsidP="00030C29">
      <w:pPr>
        <w:spacing w:line="240" w:lineRule="auto"/>
        <w:jc w:val="both"/>
        <w:rPr>
          <w:rFonts w:ascii="Book Antiqua" w:hAnsi="Book Antiqua"/>
          <w:lang w:val="sr-Latn-RS"/>
        </w:rPr>
      </w:pPr>
      <w:r>
        <w:rPr>
          <w:rFonts w:ascii="Book Antiqua" w:hAnsi="Book Antiqua" w:cs="PalatinoLinotype"/>
        </w:rPr>
        <w:t xml:space="preserve">U </w:t>
      </w:r>
      <w:r w:rsidR="00030C29" w:rsidRPr="00CB4F95">
        <w:rPr>
          <w:rFonts w:ascii="Book Antiqua" w:hAnsi="Book Antiqua" w:cs="PalatinoLinotype"/>
        </w:rPr>
        <w:t xml:space="preserve">ovoj oblasti praksa pokazuje da je potrebno još mnogo edukacije </w:t>
      </w:r>
      <w:r w:rsidR="0014497A">
        <w:rPr>
          <w:rFonts w:ascii="Book Antiqua" w:hAnsi="Book Antiqua" w:cs="PalatinoLinotype"/>
        </w:rPr>
        <w:t>i</w:t>
      </w:r>
      <w:r w:rsidR="00030C29" w:rsidRPr="00CB4F95">
        <w:rPr>
          <w:rFonts w:ascii="Book Antiqua" w:hAnsi="Book Antiqua" w:cs="PalatinoLinotype"/>
        </w:rPr>
        <w:t xml:space="preserve"> truda uložiti u uspostavljanje efikasnog </w:t>
      </w:r>
      <w:r w:rsidR="0014497A">
        <w:rPr>
          <w:rFonts w:ascii="Book Antiqua" w:hAnsi="Book Antiqua" w:cs="PalatinoLinotype"/>
        </w:rPr>
        <w:t>i</w:t>
      </w:r>
      <w:r w:rsidR="00030C29" w:rsidRPr="00CB4F95">
        <w:rPr>
          <w:rFonts w:ascii="Book Antiqua" w:hAnsi="Book Antiqua" w:cs="PalatinoLinotype"/>
        </w:rPr>
        <w:t xml:space="preserve"> delotvornog mehanizma zaštite </w:t>
      </w:r>
      <w:proofErr w:type="gramStart"/>
      <w:r w:rsidR="00030C29" w:rsidRPr="00CB4F95">
        <w:rPr>
          <w:rFonts w:ascii="Book Antiqua" w:hAnsi="Book Antiqua" w:cs="PalatinoLinotype"/>
        </w:rPr>
        <w:t>od</w:t>
      </w:r>
      <w:proofErr w:type="gramEnd"/>
      <w:r w:rsidR="00030C29" w:rsidRPr="00CB4F95">
        <w:rPr>
          <w:rFonts w:ascii="Book Antiqua" w:hAnsi="Book Antiqua" w:cs="PalatinoLinotype"/>
        </w:rPr>
        <w:t xml:space="preserve"> strane svih činilaca koji se na bilo koji način bave pitanjima zaštite dece od nasilja, zlostavljanja </w:t>
      </w:r>
      <w:r w:rsidR="0014497A">
        <w:rPr>
          <w:rFonts w:ascii="Book Antiqua" w:hAnsi="Book Antiqua" w:cs="PalatinoLinotype"/>
        </w:rPr>
        <w:t>i</w:t>
      </w:r>
      <w:r w:rsidR="00030C29" w:rsidRPr="00CB4F95">
        <w:rPr>
          <w:rFonts w:ascii="Book Antiqua" w:hAnsi="Book Antiqua" w:cs="PalatinoLinotype"/>
        </w:rPr>
        <w:t xml:space="preserve"> zanemarivanja </w:t>
      </w:r>
      <w:r w:rsidR="0014497A">
        <w:rPr>
          <w:rFonts w:ascii="Book Antiqua" w:hAnsi="Book Antiqua" w:cs="PalatinoLinotype"/>
        </w:rPr>
        <w:t>i</w:t>
      </w:r>
      <w:r w:rsidR="00030C29" w:rsidRPr="00CB4F95">
        <w:rPr>
          <w:rFonts w:ascii="Book Antiqua" w:hAnsi="Book Antiqua" w:cs="PalatinoLinotype"/>
        </w:rPr>
        <w:t xml:space="preserve"> svih koji odlučuju o zaštiti prava </w:t>
      </w:r>
      <w:r w:rsidR="0014497A">
        <w:rPr>
          <w:rFonts w:ascii="Book Antiqua" w:hAnsi="Book Antiqua" w:cs="PalatinoLinotype"/>
        </w:rPr>
        <w:t>i</w:t>
      </w:r>
      <w:r w:rsidR="00030C29" w:rsidRPr="00CB4F95">
        <w:rPr>
          <w:rFonts w:ascii="Book Antiqua" w:hAnsi="Book Antiqua" w:cs="PalatinoLinotype"/>
        </w:rPr>
        <w:t xml:space="preserve"> interesa deteta. Postoji evidentna potreba uspostavljanja bolje usklađ</w:t>
      </w:r>
      <w:r w:rsidR="003A7881">
        <w:rPr>
          <w:rFonts w:ascii="Book Antiqua" w:hAnsi="Book Antiqua" w:cs="PalatinoLinotype"/>
        </w:rPr>
        <w:t>enosti rada svih državnih organa i institucija</w:t>
      </w:r>
      <w:r w:rsidR="00030C29" w:rsidRPr="00CB4F95">
        <w:rPr>
          <w:rFonts w:ascii="Book Antiqua" w:hAnsi="Book Antiqua" w:cs="PalatinoLinotype"/>
        </w:rPr>
        <w:t xml:space="preserve">, jer krajnji rezultat traba da bude upravo pravovremena </w:t>
      </w:r>
      <w:r w:rsidR="0014497A">
        <w:rPr>
          <w:rFonts w:ascii="Book Antiqua" w:hAnsi="Book Antiqua" w:cs="PalatinoLinotype"/>
        </w:rPr>
        <w:t>i</w:t>
      </w:r>
      <w:r w:rsidR="00030C29" w:rsidRPr="00CB4F95">
        <w:rPr>
          <w:rFonts w:ascii="Book Antiqua" w:hAnsi="Book Antiqua" w:cs="PalatinoLinotype"/>
        </w:rPr>
        <w:t xml:space="preserve"> delotvorna zaštita prava </w:t>
      </w:r>
      <w:r w:rsidR="0014497A">
        <w:rPr>
          <w:rFonts w:ascii="Book Antiqua" w:hAnsi="Book Antiqua" w:cs="PalatinoLinotype"/>
        </w:rPr>
        <w:t>i</w:t>
      </w:r>
      <w:r w:rsidR="00030C29" w:rsidRPr="00CB4F95">
        <w:rPr>
          <w:rFonts w:ascii="Book Antiqua" w:hAnsi="Book Antiqua" w:cs="PalatinoLinotype"/>
        </w:rPr>
        <w:t xml:space="preserve"> interesa deteta.</w:t>
      </w:r>
    </w:p>
    <w:p w:rsidR="002C13AD" w:rsidRDefault="002C13AD" w:rsidP="00F05399">
      <w:pPr>
        <w:spacing w:line="240" w:lineRule="auto"/>
        <w:jc w:val="both"/>
        <w:rPr>
          <w:rFonts w:ascii="Book Antiqua" w:hAnsi="Book Antiqua"/>
          <w:lang w:val="sr-Latn-RS"/>
        </w:rPr>
      </w:pPr>
    </w:p>
    <w:p w:rsidR="00F335B3" w:rsidRDefault="00F335B3">
      <w:pPr>
        <w:rPr>
          <w:rFonts w:ascii="Book Antiqua" w:eastAsiaTheme="majorEastAsia" w:hAnsi="Book Antiqua" w:cstheme="majorBidi"/>
          <w:b/>
          <w:bCs/>
          <w:color w:val="000000" w:themeColor="text1"/>
          <w:sz w:val="24"/>
          <w:szCs w:val="24"/>
          <w:lang w:val="sr-Latn-RS"/>
        </w:rPr>
      </w:pPr>
      <w:r>
        <w:rPr>
          <w:rFonts w:ascii="Book Antiqua" w:hAnsi="Book Antiqua"/>
          <w:color w:val="000000" w:themeColor="text1"/>
          <w:sz w:val="24"/>
          <w:szCs w:val="24"/>
          <w:lang w:val="sr-Latn-RS"/>
        </w:rPr>
        <w:br w:type="page"/>
      </w:r>
    </w:p>
    <w:p w:rsidR="00B873FD" w:rsidRDefault="00651066" w:rsidP="000C6B39">
      <w:pPr>
        <w:pStyle w:val="Heading1"/>
        <w:numPr>
          <w:ilvl w:val="0"/>
          <w:numId w:val="4"/>
        </w:numPr>
        <w:jc w:val="center"/>
        <w:rPr>
          <w:rFonts w:ascii="Book Antiqua" w:hAnsi="Book Antiqua"/>
          <w:color w:val="000000" w:themeColor="text1"/>
          <w:sz w:val="24"/>
          <w:szCs w:val="24"/>
          <w:lang w:val="sr-Latn-RS"/>
        </w:rPr>
      </w:pPr>
      <w:r>
        <w:rPr>
          <w:rFonts w:ascii="Book Antiqua" w:hAnsi="Book Antiqua"/>
          <w:color w:val="000000" w:themeColor="text1"/>
          <w:sz w:val="24"/>
          <w:szCs w:val="24"/>
          <w:lang w:val="sr-Latn-RS"/>
        </w:rPr>
        <w:t>PREKRŠAJNOPRAVNA ZAŠTITA DETETA OD NASILJA, ZLOSTAVLJANJA I ZANEMARIVANJA</w:t>
      </w:r>
    </w:p>
    <w:p w:rsidR="00651066" w:rsidRDefault="00651066" w:rsidP="00651066">
      <w:pPr>
        <w:rPr>
          <w:lang w:val="sr-Latn-RS"/>
        </w:rPr>
      </w:pPr>
    </w:p>
    <w:p w:rsidR="007C327E" w:rsidRPr="00042364" w:rsidRDefault="007C327E" w:rsidP="007C327E">
      <w:pPr>
        <w:jc w:val="both"/>
        <w:rPr>
          <w:rFonts w:ascii="Book Antiqua" w:hAnsi="Book Antiqua"/>
          <w:lang w:val="sr-Latn-RS"/>
        </w:rPr>
      </w:pPr>
      <w:r>
        <w:rPr>
          <w:rFonts w:ascii="Book Antiqua" w:hAnsi="Book Antiqua"/>
          <w:lang w:val="sr-Latn-RS"/>
        </w:rPr>
        <w:t>Zaštitu</w:t>
      </w:r>
      <w:r w:rsidRPr="00042364">
        <w:rPr>
          <w:rFonts w:ascii="Book Antiqua" w:hAnsi="Book Antiqua"/>
          <w:lang w:val="sr-Latn-RS"/>
        </w:rPr>
        <w:t xml:space="preserve"> dece od nasilja, zlostavljanja i zanemarivanja moguć</w:t>
      </w:r>
      <w:r>
        <w:rPr>
          <w:rFonts w:ascii="Book Antiqua" w:hAnsi="Book Antiqua"/>
          <w:lang w:val="sr-Latn-RS"/>
        </w:rPr>
        <w:t>e</w:t>
      </w:r>
      <w:r w:rsidRPr="00042364">
        <w:rPr>
          <w:rFonts w:ascii="Book Antiqua" w:hAnsi="Book Antiqua"/>
          <w:lang w:val="sr-Latn-RS"/>
        </w:rPr>
        <w:t xml:space="preserve"> je </w:t>
      </w:r>
      <w:r>
        <w:rPr>
          <w:rFonts w:ascii="Book Antiqua" w:hAnsi="Book Antiqua"/>
          <w:lang w:val="sr-Latn-RS"/>
        </w:rPr>
        <w:t xml:space="preserve">ostvariti i u </w:t>
      </w:r>
      <w:r w:rsidRPr="00042364">
        <w:rPr>
          <w:rFonts w:ascii="Book Antiqua" w:hAnsi="Book Antiqua"/>
          <w:lang w:val="sr-Latn-RS"/>
        </w:rPr>
        <w:t xml:space="preserve">prekršajnom postupku. </w:t>
      </w:r>
      <w:r w:rsidRPr="004630EB">
        <w:rPr>
          <w:rFonts w:ascii="Book Antiqua" w:hAnsi="Book Antiqua"/>
          <w:b/>
          <w:lang w:val="sr-Latn-RS"/>
        </w:rPr>
        <w:t>Zakon o prekršajima</w:t>
      </w:r>
      <w:r>
        <w:rPr>
          <w:rStyle w:val="FootnoteReference"/>
          <w:rFonts w:ascii="Book Antiqua" w:hAnsi="Book Antiqua"/>
          <w:lang w:val="sr-Latn-RS"/>
        </w:rPr>
        <w:footnoteReference w:id="85"/>
      </w:r>
      <w:r w:rsidRPr="00042364">
        <w:rPr>
          <w:rFonts w:ascii="Book Antiqua" w:hAnsi="Book Antiqua"/>
          <w:lang w:val="sr-Latn-RS"/>
        </w:rPr>
        <w:t xml:space="preserve"> ne pominje oblike nasilja nad decom, ali moguće je pokrenuti prekršaj</w:t>
      </w:r>
      <w:r>
        <w:rPr>
          <w:rFonts w:ascii="Book Antiqua" w:hAnsi="Book Antiqua"/>
          <w:lang w:val="sr-Latn-RS"/>
        </w:rPr>
        <w:t xml:space="preserve">ni postupak zbor </w:t>
      </w:r>
      <w:r w:rsidRPr="00042364">
        <w:rPr>
          <w:rFonts w:ascii="Book Antiqua" w:hAnsi="Book Antiqua"/>
          <w:lang w:val="sr-Latn-RS"/>
        </w:rPr>
        <w:t xml:space="preserve">remećenja javnog reda i mira. </w:t>
      </w:r>
      <w:r w:rsidRPr="004630EB">
        <w:rPr>
          <w:rFonts w:ascii="Book Antiqua" w:hAnsi="Book Antiqua"/>
          <w:b/>
          <w:lang w:val="sr-Latn-RS"/>
        </w:rPr>
        <w:t>Zakon i javnom redu i miru</w:t>
      </w:r>
      <w:r>
        <w:rPr>
          <w:rStyle w:val="FootnoteReference"/>
          <w:rFonts w:ascii="Book Antiqua" w:hAnsi="Book Antiqua"/>
          <w:lang w:val="sr-Latn-RS"/>
        </w:rPr>
        <w:footnoteReference w:id="86"/>
      </w:r>
      <w:r>
        <w:rPr>
          <w:rFonts w:ascii="Book Antiqua" w:hAnsi="Book Antiqua"/>
          <w:lang w:val="sr-Latn-RS"/>
        </w:rPr>
        <w:t xml:space="preserve"> navodi da do prekršaja može doći vršenjem nasilja koje za posledicu ima narušavanje javnog reda i mira. Takođe,</w:t>
      </w:r>
      <w:r w:rsidRPr="00042364">
        <w:rPr>
          <w:rFonts w:ascii="Book Antiqua" w:hAnsi="Book Antiqua"/>
          <w:lang w:val="sr-Latn-RS"/>
        </w:rPr>
        <w:t xml:space="preserve"> drugi zakoni sadrže odredbe koje se odnose na prekršaje zbog nasilja, zlostavljanja ili zanemarivanja deteta. Tako </w:t>
      </w:r>
      <w:r w:rsidRPr="004630EB">
        <w:rPr>
          <w:rFonts w:ascii="Book Antiqua" w:hAnsi="Book Antiqua"/>
          <w:b/>
          <w:lang w:val="sr-Latn-RS"/>
        </w:rPr>
        <w:t>Zakon o osnovama sistema vaspitanja i obrazovanja</w:t>
      </w:r>
      <w:r>
        <w:rPr>
          <w:rStyle w:val="FootnoteReference"/>
          <w:rFonts w:ascii="Book Antiqua" w:hAnsi="Book Antiqua"/>
          <w:lang w:val="sr-Latn-RS"/>
        </w:rPr>
        <w:footnoteReference w:id="87"/>
      </w:r>
      <w:r w:rsidRPr="00042364">
        <w:rPr>
          <w:rFonts w:ascii="Book Antiqua" w:hAnsi="Book Antiqua"/>
          <w:lang w:val="sr-Latn-RS"/>
        </w:rPr>
        <w:t xml:space="preserve"> garantuje kao posebno pravo deteta i učenika pravo na zaštitu od nasilja, zlostavljanja i zanemarivanja. </w:t>
      </w:r>
      <w:r>
        <w:rPr>
          <w:rFonts w:ascii="Book Antiqua" w:hAnsi="Book Antiqua"/>
          <w:lang w:val="sr-Latn-RS"/>
        </w:rPr>
        <w:t>Pomenuti Z</w:t>
      </w:r>
      <w:r w:rsidRPr="00042364">
        <w:rPr>
          <w:rFonts w:ascii="Book Antiqua" w:hAnsi="Book Antiqua"/>
          <w:lang w:val="sr-Latn-RS"/>
        </w:rPr>
        <w:t>akon brani fizičko, psihičko i socijalno nasilje; zlostavljanje i zanemarivanje dece i učenika; fizičko kažnjavanje i vređanje ličnosti, odnosno seksualnu zloupotrebu dece i učenika ili zaposlenih i definiše nasilje, zlostavljanje i zanemarivanje i predviđa pokretanje prekršajnog, odnosno krivičnog postupka zbog povreda navedenih zabrana, a ustanova obrazovanja i vaspitanja je dužna da odmah podnese prijavu nadležnom organu ako se kod deteta ili učenika primete znaci nasilja, zlostavljanja ili zanemarivanja.</w:t>
      </w:r>
      <w:r w:rsidRPr="00042364">
        <w:rPr>
          <w:rStyle w:val="FootnoteReference"/>
          <w:rFonts w:ascii="Book Antiqua" w:hAnsi="Book Antiqua"/>
          <w:lang w:val="sr-Latn-RS"/>
        </w:rPr>
        <w:footnoteReference w:id="88"/>
      </w:r>
      <w:r w:rsidRPr="00042364">
        <w:rPr>
          <w:rFonts w:ascii="Book Antiqua" w:hAnsi="Book Antiqua"/>
          <w:lang w:val="sr-Latn-RS"/>
        </w:rPr>
        <w:t xml:space="preserve"> Zakon sadrži i kaznene odredbe, tako će se </w:t>
      </w:r>
      <w:r w:rsidRPr="000B7932">
        <w:rPr>
          <w:rFonts w:ascii="Book Antiqua" w:hAnsi="Book Antiqua"/>
          <w:lang w:val="sr-Latn-RS"/>
        </w:rPr>
        <w:t>ustanova, kao i direktor, odnosno odgovorno lice ustanove</w:t>
      </w:r>
      <w:r w:rsidRPr="005B3B08">
        <w:rPr>
          <w:rFonts w:ascii="Book Antiqua" w:hAnsi="Book Antiqua"/>
          <w:lang w:val="sr-Latn-RS"/>
        </w:rPr>
        <w:t>, k</w:t>
      </w:r>
      <w:r w:rsidRPr="00042364">
        <w:rPr>
          <w:rFonts w:ascii="Book Antiqua" w:hAnsi="Book Antiqua"/>
          <w:lang w:val="sr-Latn-RS"/>
        </w:rPr>
        <w:t>azniti novčanom kaznom za prekršaj ako ne propiše način i postupak za zaštitu i bezbednost dece, odnosno učenika i ako ne preduzima ili neblagovremeno preduzima, odnosno ne preduzima odgovarajuće mere u slučajevima nasilja, zlostavljanja i zanemarivanja.</w:t>
      </w:r>
      <w:r w:rsidRPr="00042364">
        <w:rPr>
          <w:rStyle w:val="FootnoteReference"/>
          <w:rFonts w:ascii="Book Antiqua" w:hAnsi="Book Antiqua"/>
          <w:lang w:val="sr-Latn-RS"/>
        </w:rPr>
        <w:footnoteReference w:id="89"/>
      </w:r>
      <w:r w:rsidRPr="00042364">
        <w:rPr>
          <w:rFonts w:ascii="Book Antiqua" w:hAnsi="Book Antiqua"/>
          <w:lang w:val="sr-Latn-RS"/>
        </w:rPr>
        <w:t xml:space="preserve"> </w:t>
      </w:r>
    </w:p>
    <w:p w:rsidR="007C327E" w:rsidRPr="00042364" w:rsidRDefault="007C327E" w:rsidP="007C327E">
      <w:pPr>
        <w:jc w:val="both"/>
        <w:rPr>
          <w:rFonts w:ascii="Book Antiqua" w:hAnsi="Book Antiqua"/>
          <w:lang w:val="en-US"/>
        </w:rPr>
      </w:pPr>
      <w:r w:rsidRPr="00042364">
        <w:rPr>
          <w:rFonts w:ascii="Book Antiqua" w:hAnsi="Book Antiqua"/>
          <w:lang w:val="sr-Latn-RS"/>
        </w:rPr>
        <w:t xml:space="preserve">Praksa prekršajnih sudova u Srbiji u slučaju nasilja, zlostavljanja i zanemarivanja </w:t>
      </w:r>
      <w:r w:rsidRPr="00927FAC">
        <w:rPr>
          <w:rFonts w:ascii="Book Antiqua" w:hAnsi="Book Antiqua"/>
          <w:lang w:val="sr-Latn-RS"/>
        </w:rPr>
        <w:t>dece u ustanovama vaspitanja i obrazovanja nije bogata</w:t>
      </w:r>
      <w:r w:rsidRPr="00042364">
        <w:rPr>
          <w:rFonts w:ascii="Book Antiqua" w:hAnsi="Book Antiqua"/>
          <w:lang w:val="sr-Latn-RS"/>
        </w:rPr>
        <w:t xml:space="preserve">. Jedan od najozbiljnijih slučajeva vršnjačkog nasilja u Srbiji, a povodom koga je pokrenut prekršajni postupak, desio se u </w:t>
      </w:r>
      <w:r>
        <w:rPr>
          <w:rFonts w:ascii="Book Antiqua" w:hAnsi="Book Antiqua"/>
          <w:lang w:val="sr-Latn-RS"/>
        </w:rPr>
        <w:t xml:space="preserve">osnovnoj školi u </w:t>
      </w:r>
      <w:r w:rsidRPr="00042364">
        <w:rPr>
          <w:rFonts w:ascii="Book Antiqua" w:hAnsi="Book Antiqua"/>
          <w:lang w:val="sr-Latn-RS"/>
        </w:rPr>
        <w:t>Nišu školske 2010/2011 godine. Maloletni</w:t>
      </w:r>
      <w:r>
        <w:rPr>
          <w:rFonts w:ascii="Book Antiqua" w:hAnsi="Book Antiqua"/>
          <w:lang w:val="sr-Latn-RS"/>
        </w:rPr>
        <w:t xml:space="preserve"> učenik</w:t>
      </w:r>
      <w:r w:rsidRPr="00042364">
        <w:rPr>
          <w:rFonts w:ascii="Book Antiqua" w:hAnsi="Book Antiqua"/>
          <w:lang w:val="sr-Latn-RS"/>
        </w:rPr>
        <w:t xml:space="preserve"> je usled </w:t>
      </w:r>
      <w:r>
        <w:rPr>
          <w:rFonts w:ascii="Book Antiqua" w:hAnsi="Book Antiqua"/>
          <w:lang w:val="sr-Latn-RS"/>
        </w:rPr>
        <w:t xml:space="preserve">vršnjačkog </w:t>
      </w:r>
      <w:r w:rsidRPr="00042364">
        <w:rPr>
          <w:rFonts w:ascii="Book Antiqua" w:hAnsi="Book Antiqua"/>
          <w:lang w:val="sr-Latn-RS"/>
        </w:rPr>
        <w:t xml:space="preserve">nasilja koje je trpeo izvršio samoubistvo u maju 2011. godine. Naime, </w:t>
      </w:r>
      <w:r>
        <w:rPr>
          <w:rFonts w:ascii="Book Antiqua" w:hAnsi="Book Antiqua"/>
          <w:lang w:val="sr-Latn-RS"/>
        </w:rPr>
        <w:t>š</w:t>
      </w:r>
      <w:r w:rsidRPr="00042364">
        <w:rPr>
          <w:rFonts w:ascii="Book Antiqua" w:hAnsi="Book Antiqua"/>
          <w:lang w:val="sr-Latn-RS"/>
        </w:rPr>
        <w:t>kola je propustila da o slučajevima nasilja nad malolet</w:t>
      </w:r>
      <w:r>
        <w:rPr>
          <w:rFonts w:ascii="Book Antiqua" w:hAnsi="Book Antiqua"/>
          <w:lang w:val="sr-Latn-RS"/>
        </w:rPr>
        <w:t>n</w:t>
      </w:r>
      <w:r w:rsidRPr="00042364">
        <w:rPr>
          <w:rFonts w:ascii="Book Antiqua" w:hAnsi="Book Antiqua"/>
          <w:lang w:val="sr-Latn-RS"/>
        </w:rPr>
        <w:t xml:space="preserve">im </w:t>
      </w:r>
      <w:r>
        <w:rPr>
          <w:rFonts w:ascii="Book Antiqua" w:hAnsi="Book Antiqua"/>
          <w:lang w:val="sr-Latn-RS"/>
        </w:rPr>
        <w:t>učenikom</w:t>
      </w:r>
      <w:r w:rsidRPr="00042364">
        <w:rPr>
          <w:rFonts w:ascii="Book Antiqua" w:hAnsi="Book Antiqua"/>
          <w:lang w:val="sr-Latn-RS"/>
        </w:rPr>
        <w:t xml:space="preserve"> blagovremeno obavesti stručnu službu i tadašnju direktorku </w:t>
      </w:r>
      <w:r>
        <w:rPr>
          <w:rFonts w:ascii="Book Antiqua" w:hAnsi="Book Antiqua"/>
          <w:lang w:val="sr-Latn-RS"/>
        </w:rPr>
        <w:t>Š</w:t>
      </w:r>
      <w:r w:rsidRPr="00042364">
        <w:rPr>
          <w:rFonts w:ascii="Book Antiqua" w:hAnsi="Book Antiqua"/>
          <w:lang w:val="sr-Latn-RS"/>
        </w:rPr>
        <w:t xml:space="preserve">kole, da postupi u skladu </w:t>
      </w:r>
      <w:r>
        <w:rPr>
          <w:rFonts w:ascii="Book Antiqua" w:hAnsi="Book Antiqua"/>
          <w:lang w:val="sr-Latn-RS"/>
        </w:rPr>
        <w:t xml:space="preserve">sa </w:t>
      </w:r>
      <w:r w:rsidRPr="004630EB">
        <w:rPr>
          <w:rFonts w:ascii="Book Antiqua" w:hAnsi="Book Antiqua"/>
          <w:b/>
          <w:lang w:val="sr-Latn-RS"/>
        </w:rPr>
        <w:t>Pravilnikom o protokolu postupanja u ustanovi u odgovoru na nasilje, zlostavljanje i zanemarivanje u ustanovi</w:t>
      </w:r>
      <w:r>
        <w:rPr>
          <w:rStyle w:val="FootnoteReference"/>
          <w:rFonts w:ascii="Book Antiqua" w:hAnsi="Book Antiqua"/>
          <w:lang w:val="sr-Latn-RS"/>
        </w:rPr>
        <w:footnoteReference w:id="90"/>
      </w:r>
      <w:r w:rsidRPr="00042364">
        <w:rPr>
          <w:rFonts w:ascii="Book Antiqua" w:hAnsi="Book Antiqua"/>
          <w:lang w:val="sr-Latn-RS"/>
        </w:rPr>
        <w:t xml:space="preserve"> i da o nasilju obavesti druge nadležne organe i zatraži njihovo učešće u rešavanju problema.</w:t>
      </w:r>
      <w:r w:rsidRPr="00042364">
        <w:rPr>
          <w:rStyle w:val="FootnoteReference"/>
          <w:rFonts w:ascii="Book Antiqua" w:hAnsi="Book Antiqua"/>
          <w:lang w:val="sr-Latn-RS"/>
        </w:rPr>
        <w:footnoteReference w:id="91"/>
      </w:r>
    </w:p>
    <w:p w:rsidR="007C327E" w:rsidRDefault="007C327E" w:rsidP="007C327E">
      <w:pPr>
        <w:jc w:val="both"/>
        <w:rPr>
          <w:rFonts w:ascii="Book Antiqua" w:hAnsi="Book Antiqua"/>
          <w:lang w:val="sr-Latn-RS"/>
        </w:rPr>
      </w:pPr>
      <w:r>
        <w:rPr>
          <w:rFonts w:ascii="Book Antiqua" w:hAnsi="Book Antiqua"/>
          <w:lang w:val="sr-Latn-RS"/>
        </w:rPr>
        <w:t>Prekršajni sud u Nišu</w:t>
      </w:r>
      <w:r w:rsidRPr="00042364">
        <w:rPr>
          <w:rFonts w:ascii="Book Antiqua" w:hAnsi="Book Antiqua"/>
          <w:lang w:val="sr-Latn-RS"/>
        </w:rPr>
        <w:t xml:space="preserve"> </w:t>
      </w:r>
      <w:r>
        <w:rPr>
          <w:rFonts w:ascii="Book Antiqua" w:hAnsi="Book Antiqua"/>
          <w:lang w:val="sr-Latn-RS"/>
        </w:rPr>
        <w:t xml:space="preserve">doneo je </w:t>
      </w:r>
      <w:r w:rsidRPr="00042364">
        <w:rPr>
          <w:rFonts w:ascii="Book Antiqua" w:hAnsi="Book Antiqua"/>
          <w:lang w:val="sr-Latn-RS"/>
        </w:rPr>
        <w:t xml:space="preserve">presudu zbog prekršaja iz člana 161. stav 1 tačka 3 i stava 2 Zakona o osnovama sistema vaspitanja i obrazovanja i oglasio krivim </w:t>
      </w:r>
      <w:r>
        <w:rPr>
          <w:rFonts w:ascii="Book Antiqua" w:hAnsi="Book Antiqua"/>
          <w:lang w:val="sr-Latn-RS"/>
        </w:rPr>
        <w:t>Osnovnu školu</w:t>
      </w:r>
      <w:r w:rsidR="007D3A01">
        <w:rPr>
          <w:rFonts w:ascii="Book Antiqua" w:hAnsi="Book Antiqua"/>
          <w:lang w:val="sr-Latn-RS"/>
        </w:rPr>
        <w:t xml:space="preserve"> i direktorku škole „</w:t>
      </w:r>
      <w:r w:rsidRPr="00042364">
        <w:rPr>
          <w:rFonts w:ascii="Book Antiqua" w:hAnsi="Book Antiqua"/>
          <w:lang w:val="sr-Latn-RS"/>
        </w:rPr>
        <w:t>što propuštanjem dužnog nadzora, iako su bili svesni da njihovim nečinjenjem može nastupiti zabranjena posledica, ali su olako držali da neće nastupiti, nisu preduzeli, nisu blagovremeno preduzeli i nisu preduzeli odgovarajuće mere propisane Pravilnikom o protokolu postupanja u ustanovi u odgovoru na nasilje, zlostavljanje i zanemarivanje u ustanovi, koje se preduzimaju u slučajevima povrede zabrane nasilja, zlostavljanja i zanemarivanja.</w:t>
      </w:r>
      <w:r w:rsidR="007D3A01">
        <w:rPr>
          <w:rFonts w:ascii="Book Antiqua" w:hAnsi="Book Antiqua"/>
          <w:lang w:val="sr-Latn-RS"/>
        </w:rPr>
        <w:t>“</w:t>
      </w:r>
      <w:r w:rsidRPr="00042364">
        <w:rPr>
          <w:rStyle w:val="FootnoteReference"/>
          <w:rFonts w:ascii="Book Antiqua" w:hAnsi="Book Antiqua"/>
          <w:lang w:val="sr-Latn-RS"/>
        </w:rPr>
        <w:footnoteReference w:id="92"/>
      </w:r>
      <w:r w:rsidRPr="00042364">
        <w:rPr>
          <w:rFonts w:ascii="Book Antiqua" w:hAnsi="Book Antiqua"/>
          <w:lang w:val="sr-Latn-RS"/>
        </w:rPr>
        <w:t xml:space="preserve"> Sud je utvrdio da okrivljeni nisu postupali u skladu sa navedenim Pravilnikom u odnosu na niz akata nasilja nad maloletnim </w:t>
      </w:r>
      <w:r>
        <w:rPr>
          <w:rFonts w:ascii="Book Antiqua" w:hAnsi="Book Antiqua"/>
          <w:lang w:val="sr-Latn-RS"/>
        </w:rPr>
        <w:t>učenikom</w:t>
      </w:r>
      <w:r w:rsidRPr="00042364">
        <w:rPr>
          <w:rFonts w:ascii="Book Antiqua" w:hAnsi="Book Antiqua"/>
          <w:lang w:val="sr-Latn-RS"/>
        </w:rPr>
        <w:t xml:space="preserve">. Za šest konkretnih slučajeva nasilja koji se u presudi obrazlažu, navodi se da okrivljeni nisu izvršili otkrivanje nasilja davanjem izjave maloletnog </w:t>
      </w:r>
      <w:r>
        <w:rPr>
          <w:rFonts w:ascii="Book Antiqua" w:hAnsi="Book Antiqua"/>
          <w:lang w:val="sr-Latn-RS"/>
        </w:rPr>
        <w:t>učenika</w:t>
      </w:r>
      <w:r w:rsidRPr="00042364">
        <w:rPr>
          <w:rFonts w:ascii="Book Antiqua" w:hAnsi="Book Antiqua"/>
          <w:lang w:val="sr-Latn-RS"/>
        </w:rPr>
        <w:t xml:space="preserve"> direktorki škole u prisustvu psihologa i roditelja, usled čega u nekim od slučajeva Tim za zaštitu od nasilja, zlostavljanja i zanemarivanja nije adekvatno razvrstao nasilje u odgovarajući nivo, a u nekim slučajevima Tim nije ni angažovan. Dalje, u nekim slučajevima nisu preduzete radnje intervencije prema nivou nasilja, propisane Pravilnikom</w:t>
      </w:r>
      <w:r>
        <w:rPr>
          <w:rStyle w:val="FootnoteReference"/>
          <w:rFonts w:ascii="Book Antiqua" w:hAnsi="Book Antiqua"/>
          <w:lang w:val="sr-Latn-RS"/>
        </w:rPr>
        <w:footnoteReference w:id="93"/>
      </w:r>
      <w:r w:rsidRPr="00042364">
        <w:rPr>
          <w:rFonts w:ascii="Book Antiqua" w:hAnsi="Book Antiqua"/>
          <w:lang w:val="sr-Latn-RS"/>
        </w:rPr>
        <w:t xml:space="preserve"> u skladu sa obavezom intervencije uvek kada postoji sumnja ili saznanje da učenik trpi nasilje, a u nekim slučajevima nije pokrenut vaspitno-disciplinski postupak protiv učenika koji su nasilje vršili. Prilikom odmeravanja kazni sud je cenio vrstu, težinu i posledice prekršaja, dužinu trajanja nasilja u školi, koje nije bilo sprečeno na adekvatan način i to što nisu bili uloženi napori </w:t>
      </w:r>
      <w:r>
        <w:rPr>
          <w:rFonts w:ascii="Book Antiqua" w:hAnsi="Book Antiqua"/>
          <w:lang w:val="sr-Latn-RS"/>
        </w:rPr>
        <w:t>radi</w:t>
      </w:r>
      <w:r w:rsidRPr="00042364">
        <w:rPr>
          <w:rFonts w:ascii="Book Antiqua" w:hAnsi="Book Antiqua"/>
          <w:lang w:val="sr-Latn-RS"/>
        </w:rPr>
        <w:t xml:space="preserve"> otklanjanje posledica nasilja, pa je odlučeno da kazne budu maksimalne propisane Zakonom, 500.000 RSD za ustanovu i 50.000 RSD za direktorku Škole. Olakšavajuće okolnosti sud nije našao. S obzirom da je prekršajni pos</w:t>
      </w:r>
      <w:r>
        <w:rPr>
          <w:rFonts w:ascii="Book Antiqua" w:hAnsi="Book Antiqua"/>
          <w:lang w:val="sr-Latn-RS"/>
        </w:rPr>
        <w:t xml:space="preserve">tupak pravnosnažno okončan, pokretanje krivičnog postupka nije bilo moguće, zbog pravila </w:t>
      </w:r>
      <w:r w:rsidRPr="00FC6927">
        <w:rPr>
          <w:rFonts w:ascii="Book Antiqua" w:hAnsi="Book Antiqua"/>
          <w:i/>
          <w:lang w:val="sr-Latn-RS"/>
        </w:rPr>
        <w:t>ne bis in idem</w:t>
      </w:r>
      <w:r>
        <w:rPr>
          <w:rFonts w:ascii="Book Antiqua" w:hAnsi="Book Antiqua"/>
          <w:lang w:val="sr-Latn-RS"/>
        </w:rPr>
        <w:t xml:space="preserve">, te je podneta </w:t>
      </w:r>
      <w:r w:rsidRPr="00D64249">
        <w:rPr>
          <w:rFonts w:ascii="Book Antiqua" w:hAnsi="Book Antiqua"/>
          <w:lang w:val="sr-Latn-RS"/>
        </w:rPr>
        <w:t>krivična prijava odbačena</w:t>
      </w:r>
      <w:r w:rsidRPr="00042364">
        <w:rPr>
          <w:rFonts w:ascii="Book Antiqua" w:hAnsi="Book Antiqua"/>
          <w:lang w:val="sr-Latn-RS"/>
        </w:rPr>
        <w:t>.</w:t>
      </w:r>
    </w:p>
    <w:p w:rsidR="007C327E" w:rsidRDefault="007C327E" w:rsidP="007C327E">
      <w:pPr>
        <w:jc w:val="both"/>
        <w:rPr>
          <w:rFonts w:ascii="Book Antiqua" w:hAnsi="Book Antiqua"/>
          <w:lang w:val="sr-Latn-RS"/>
        </w:rPr>
      </w:pPr>
      <w:r>
        <w:rPr>
          <w:rFonts w:ascii="Book Antiqua" w:hAnsi="Book Antiqua"/>
          <w:lang w:val="sr-Latn-RS"/>
        </w:rPr>
        <w:t>S obzirom da se krivični i prekršajni postupak ne mogu voditi povodom istog događaja</w:t>
      </w:r>
      <w:r>
        <w:rPr>
          <w:rStyle w:val="FootnoteReference"/>
          <w:rFonts w:ascii="Book Antiqua" w:hAnsi="Book Antiqua"/>
          <w:lang w:val="sr-Latn-RS"/>
        </w:rPr>
        <w:footnoteReference w:id="94"/>
      </w:r>
      <w:r>
        <w:rPr>
          <w:rFonts w:ascii="Book Antiqua" w:hAnsi="Book Antiqua"/>
          <w:lang w:val="sr-Latn-RS"/>
        </w:rPr>
        <w:t xml:space="preserve"> postavlja se pitanje da li se pokretanjem prekršajnog postupka prema osumnjičenom za nasilje, zlostavljanje ili zanemarivanje deteta omogućava izbegavanje krivične odgovornosti i iscrpljivanje krivičnopravne zaštite prekršajnom odgovornošću. Ustavni sud Republike Srbije je u obrazloženju presude </w:t>
      </w:r>
      <w:r w:rsidRPr="007B706D">
        <w:rPr>
          <w:rFonts w:ascii="Book Antiqua" w:hAnsi="Book Antiqua"/>
          <w:lang w:val="sr-Latn-RS"/>
        </w:rPr>
        <w:t>Už 1285/2012</w:t>
      </w:r>
      <w:r>
        <w:rPr>
          <w:rFonts w:ascii="Book Antiqua" w:hAnsi="Book Antiqua"/>
          <w:lang w:val="sr-Latn-RS"/>
        </w:rPr>
        <w:t xml:space="preserve"> ukazao na to da «prekršajni sudovi u izrekama ne bi trebalo da svojom izrekom proširuju činjenični opis prekršaja i tako obuhvate činjenični supstrat krivičnog dela, te aktiviraju zabranu </w:t>
      </w:r>
      <w:r w:rsidRPr="00863379">
        <w:rPr>
          <w:rFonts w:ascii="Book Antiqua" w:hAnsi="Book Antiqua"/>
          <w:i/>
          <w:lang w:val="sr-Latn-RS"/>
        </w:rPr>
        <w:t>ne bis in idem</w:t>
      </w:r>
      <w:r>
        <w:rPr>
          <w:rFonts w:ascii="Book Antiqua" w:hAnsi="Book Antiqua"/>
          <w:i/>
          <w:lang w:val="sr-Latn-RS"/>
        </w:rPr>
        <w:t xml:space="preserve"> </w:t>
      </w:r>
      <w:r w:rsidRPr="00D014D9">
        <w:rPr>
          <w:rFonts w:ascii="Book Antiqua" w:hAnsi="Book Antiqua"/>
          <w:lang w:val="sr-Latn-RS"/>
        </w:rPr>
        <w:t>u krivičnom postupku</w:t>
      </w:r>
      <w:r>
        <w:rPr>
          <w:rFonts w:ascii="Book Antiqua" w:hAnsi="Book Antiqua"/>
          <w:lang w:val="sr-Latn-RS"/>
        </w:rPr>
        <w:t>, u slučaju kada elementi dela iz izreke prekršajne odluke ne predstavljaju bitne elemente propisane zakonom za konkretan prekršaj, već isključivo čine biće nekog krivičnog dela».</w:t>
      </w:r>
      <w:r>
        <w:rPr>
          <w:rStyle w:val="FootnoteReference"/>
          <w:rFonts w:ascii="Book Antiqua" w:hAnsi="Book Antiqua"/>
          <w:lang w:val="sr-Latn-RS"/>
        </w:rPr>
        <w:footnoteReference w:id="95"/>
      </w:r>
      <w:r>
        <w:rPr>
          <w:rFonts w:ascii="Book Antiqua" w:hAnsi="Book Antiqua"/>
          <w:lang w:val="sr-Latn-RS"/>
        </w:rPr>
        <w:t xml:space="preserve"> S obzirom na nepostojanje jasnog razgraničenja između krivičnih dela i prekršaja u domaćem zakonodavstvu, prekršajni sudovi bi morali da se ograniče na utvrđivanje samo onih činjenica koje čine biće prekršaja, a da prepuste krivičnom sudu utvrđivanje činjenica koje su bitne za postojanje krivičnog dela,</w:t>
      </w:r>
      <w:r>
        <w:rPr>
          <w:rStyle w:val="FootnoteReference"/>
          <w:rFonts w:ascii="Book Antiqua" w:hAnsi="Book Antiqua"/>
          <w:lang w:val="sr-Latn-RS"/>
        </w:rPr>
        <w:footnoteReference w:id="96"/>
      </w:r>
      <w:r>
        <w:rPr>
          <w:rFonts w:ascii="Book Antiqua" w:hAnsi="Book Antiqua"/>
          <w:lang w:val="sr-Latn-RS"/>
        </w:rPr>
        <w:t xml:space="preserve"> kako ne bi bilo omogućeno da se krivična odgovornost izbegne za krivično delo koje se odnosi na nasilje, zlostavljanje ili zanemarivanje deteta. </w:t>
      </w:r>
    </w:p>
    <w:p w:rsidR="00E60125" w:rsidRDefault="00E60125" w:rsidP="007C327E">
      <w:pPr>
        <w:jc w:val="both"/>
        <w:rPr>
          <w:rFonts w:ascii="Book Antiqua" w:hAnsi="Book Antiqua"/>
          <w:lang w:val="sr-Latn-RS"/>
        </w:rPr>
      </w:pPr>
      <w:r w:rsidRPr="002A157A">
        <w:rPr>
          <w:rFonts w:ascii="Book Antiqua" w:hAnsi="Book Antiqua"/>
          <w:lang w:val="sr-Latn-RS"/>
        </w:rPr>
        <w:t xml:space="preserve">U duhu prethodno navedenog je i presuda Vrhovnog kasacionog suda iz 2016.godine, kojom je utvrđeno da u konkretnom slučaju u kome je posebno vođen Prekršajni postupak za remećenje javnog reda i mira i Krivični postupak za nasilje u porodici, nije došlo do preklapanja, te da nema osnova za pozivanje na </w:t>
      </w:r>
      <w:r w:rsidRPr="002A157A">
        <w:rPr>
          <w:rFonts w:ascii="Book Antiqua" w:hAnsi="Book Antiqua"/>
          <w:i/>
          <w:lang w:val="sr-Latn-RS"/>
        </w:rPr>
        <w:t xml:space="preserve">ne bis in idem, </w:t>
      </w:r>
      <w:r w:rsidRPr="002A157A">
        <w:rPr>
          <w:rFonts w:ascii="Book Antiqua" w:hAnsi="Book Antiqua"/>
          <w:lang w:val="sr-Latn-RS"/>
        </w:rPr>
        <w:t>iz razloga što je „</w:t>
      </w:r>
      <w:r w:rsidRPr="002A157A">
        <w:rPr>
          <w:rFonts w:ascii="Book Antiqua" w:hAnsi="Book Antiqua"/>
          <w:i/>
          <w:lang w:val="sr-Latn-RS"/>
        </w:rPr>
        <w:t>činjenični opis prekršaja iz člana 6. stav 3. Zakona o javnom redu i miru različit od činjeničnog opisa krivičnog dela iz člana 194. stava 3. u vezi stava 1. KZ.“</w:t>
      </w:r>
      <w:r w:rsidRPr="002A157A">
        <w:rPr>
          <w:rStyle w:val="FootnoteReference"/>
          <w:rFonts w:ascii="Book Antiqua" w:hAnsi="Book Antiqua"/>
          <w:i/>
          <w:lang w:val="sr-Latn-RS"/>
        </w:rPr>
        <w:footnoteReference w:id="97"/>
      </w:r>
      <w:r>
        <w:rPr>
          <w:rFonts w:ascii="Book Antiqua" w:hAnsi="Book Antiqua"/>
          <w:lang w:val="sr-Latn-RS"/>
        </w:rPr>
        <w:t xml:space="preserve"> </w:t>
      </w:r>
    </w:p>
    <w:p w:rsidR="00934A3B" w:rsidRPr="00E60125" w:rsidRDefault="00934A3B" w:rsidP="007C327E">
      <w:pPr>
        <w:jc w:val="both"/>
        <w:rPr>
          <w:rFonts w:ascii="Book Antiqua" w:hAnsi="Book Antiqua"/>
          <w:lang w:val="sr-Latn-RS"/>
        </w:rPr>
      </w:pPr>
    </w:p>
    <w:p w:rsidR="000E590A" w:rsidRDefault="000E590A">
      <w:pPr>
        <w:rPr>
          <w:rFonts w:ascii="Book Antiqua" w:eastAsiaTheme="majorEastAsia" w:hAnsi="Book Antiqua" w:cstheme="majorBidi"/>
          <w:b/>
          <w:bCs/>
          <w:color w:val="000000" w:themeColor="text1"/>
          <w:sz w:val="24"/>
          <w:szCs w:val="24"/>
          <w:lang w:val="sr-Latn-RS"/>
        </w:rPr>
      </w:pPr>
      <w:r>
        <w:rPr>
          <w:rFonts w:ascii="Book Antiqua" w:hAnsi="Book Antiqua"/>
          <w:color w:val="000000" w:themeColor="text1"/>
          <w:sz w:val="24"/>
          <w:szCs w:val="24"/>
          <w:lang w:val="sr-Latn-RS"/>
        </w:rPr>
        <w:br w:type="page"/>
      </w:r>
    </w:p>
    <w:p w:rsidR="00E60125" w:rsidRPr="00934A3B" w:rsidRDefault="00934A3B" w:rsidP="00934A3B">
      <w:pPr>
        <w:pStyle w:val="Heading1"/>
        <w:numPr>
          <w:ilvl w:val="0"/>
          <w:numId w:val="4"/>
        </w:numPr>
        <w:jc w:val="center"/>
        <w:rPr>
          <w:rFonts w:ascii="Book Antiqua" w:hAnsi="Book Antiqua"/>
          <w:color w:val="000000" w:themeColor="text1"/>
          <w:sz w:val="24"/>
          <w:szCs w:val="24"/>
          <w:lang w:val="sr-Latn-RS"/>
        </w:rPr>
      </w:pPr>
      <w:r>
        <w:rPr>
          <w:rFonts w:ascii="Book Antiqua" w:hAnsi="Book Antiqua"/>
          <w:color w:val="000000" w:themeColor="text1"/>
          <w:sz w:val="24"/>
          <w:szCs w:val="24"/>
          <w:lang w:val="sr-Latn-RS"/>
        </w:rPr>
        <w:t>STATISTIČKI PODACI</w:t>
      </w:r>
    </w:p>
    <w:p w:rsidR="00934A3B" w:rsidRDefault="00934A3B">
      <w:pPr>
        <w:rPr>
          <w:rFonts w:ascii="Book Antiqua" w:hAnsi="Book Antiqua"/>
          <w:color w:val="000000" w:themeColor="text1"/>
          <w:sz w:val="24"/>
          <w:szCs w:val="24"/>
          <w:lang w:val="sr-Latn-RS"/>
        </w:rPr>
      </w:pPr>
    </w:p>
    <w:p w:rsidR="000E590A" w:rsidRPr="00BF72C4" w:rsidRDefault="000E590A" w:rsidP="000E590A">
      <w:pPr>
        <w:jc w:val="both"/>
        <w:rPr>
          <w:rFonts w:ascii="Book Antiqua" w:hAnsi="Book Antiqua"/>
          <w:color w:val="000000" w:themeColor="text1"/>
          <w:lang w:val="sr-Latn-RS"/>
        </w:rPr>
      </w:pPr>
      <w:r w:rsidRPr="00BF72C4">
        <w:rPr>
          <w:rFonts w:ascii="Book Antiqua" w:hAnsi="Book Antiqua"/>
          <w:color w:val="000000" w:themeColor="text1"/>
          <w:lang w:val="sr-Latn-RS"/>
        </w:rPr>
        <w:t>Kako se analiza sprovodi krajem 2016.godine, većina dostupnih statističkih podataka se odnosi na period do kraja 2015.godine.</w:t>
      </w:r>
    </w:p>
    <w:p w:rsidR="000E590A" w:rsidRPr="00BF72C4" w:rsidRDefault="000E590A" w:rsidP="000E590A">
      <w:pPr>
        <w:jc w:val="both"/>
        <w:rPr>
          <w:rFonts w:ascii="Book Antiqua" w:hAnsi="Book Antiqua"/>
          <w:color w:val="000000" w:themeColor="text1"/>
          <w:lang w:val="sr-Latn-RS"/>
        </w:rPr>
      </w:pPr>
      <w:r w:rsidRPr="00BF72C4">
        <w:rPr>
          <w:rFonts w:ascii="Book Antiqua" w:hAnsi="Book Antiqua"/>
          <w:color w:val="000000" w:themeColor="text1"/>
          <w:lang w:val="sr-Latn-RS"/>
        </w:rPr>
        <w:t>Broj punoletnih lica prijavljenih za krivično delo nasilje u porodici u 2015.godini iznosio je 5.040, dok je u 2014.godini broj tih lica iznosio 3.642. Od 5.040 krivičnih prijava, u 62,5% slučajeva je odbačena krivična prijava, dok je u 36,4% podneta optužnica ili optužni predlog. Takođe, broj osuđenih punoletnih lica se povećao u odnosu na 2014.godinu, odnosno 2014.godine je za nasilje u porodici osuđeno 1.712 punoletnih lica, dok je u 2015.godini osuđeno 1.778 lica.</w:t>
      </w:r>
      <w:r w:rsidRPr="00BF72C4">
        <w:rPr>
          <w:rStyle w:val="FootnoteReference"/>
          <w:rFonts w:ascii="Book Antiqua" w:hAnsi="Book Antiqua"/>
          <w:color w:val="000000" w:themeColor="text1"/>
          <w:lang w:val="sr-Latn-RS"/>
        </w:rPr>
        <w:footnoteReference w:id="98"/>
      </w:r>
    </w:p>
    <w:p w:rsidR="00044C41" w:rsidRDefault="00044C41" w:rsidP="003D497D">
      <w:pPr>
        <w:jc w:val="center"/>
        <w:rPr>
          <w:rFonts w:ascii="Book Antiqua" w:hAnsi="Book Antiqua"/>
          <w:color w:val="000000" w:themeColor="text1"/>
          <w:sz w:val="24"/>
          <w:szCs w:val="24"/>
          <w:lang w:val="sr-Latn-RS"/>
        </w:rPr>
      </w:pPr>
      <w:r>
        <w:rPr>
          <w:rFonts w:ascii="Book Antiqua" w:hAnsi="Book Antiqua"/>
          <w:noProof/>
          <w:color w:val="000000" w:themeColor="text1"/>
          <w:sz w:val="24"/>
          <w:szCs w:val="24"/>
          <w:lang w:val="sr-Latn-RS" w:eastAsia="sr-Latn-RS"/>
        </w:rPr>
        <w:drawing>
          <wp:inline distT="0" distB="0" distL="0" distR="0" wp14:anchorId="55AA2E42" wp14:editId="7CBD78E8">
            <wp:extent cx="5591956" cy="2619741"/>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8">
                      <a:extLst>
                        <a:ext uri="{28A0092B-C50C-407E-A947-70E740481C1C}">
                          <a14:useLocalDpi xmlns:a14="http://schemas.microsoft.com/office/drawing/2010/main" val="0"/>
                        </a:ext>
                      </a:extLst>
                    </a:blip>
                    <a:stretch>
                      <a:fillRect/>
                    </a:stretch>
                  </pic:blipFill>
                  <pic:spPr>
                    <a:xfrm>
                      <a:off x="0" y="0"/>
                      <a:ext cx="5591956" cy="2619741"/>
                    </a:xfrm>
                    <a:prstGeom prst="rect">
                      <a:avLst/>
                    </a:prstGeom>
                  </pic:spPr>
                </pic:pic>
              </a:graphicData>
            </a:graphic>
          </wp:inline>
        </w:drawing>
      </w:r>
    </w:p>
    <w:p w:rsidR="000E590A" w:rsidRPr="00BF72C4" w:rsidRDefault="000E590A" w:rsidP="000E590A">
      <w:pPr>
        <w:jc w:val="both"/>
        <w:rPr>
          <w:rFonts w:ascii="Book Antiqua" w:hAnsi="Book Antiqua"/>
          <w:color w:val="000000" w:themeColor="text1"/>
          <w:lang w:val="sr-Latn-RS"/>
        </w:rPr>
      </w:pPr>
      <w:r w:rsidRPr="00BF72C4">
        <w:rPr>
          <w:rFonts w:ascii="Book Antiqua" w:hAnsi="Book Antiqua"/>
          <w:color w:val="000000" w:themeColor="text1"/>
          <w:lang w:val="sr-Latn-RS"/>
        </w:rPr>
        <w:t xml:space="preserve">Podatak o povećanju od skoro 40% prijava za nasilje u porodici u 2015.godini u odnosu na prethodnu godinu sa jedne strane ukazuje na neadekvatno preventivno delovanje u cilju smanjenja izvšenja ovog krivičnog dela, ali može biti i indikacija boljeg prepoznavanje slučajeva nasilja od strane građana, te prijavljivanje slučajeva nasilja nadležnim institucijama. </w:t>
      </w:r>
    </w:p>
    <w:p w:rsidR="000E590A" w:rsidRPr="00BF72C4" w:rsidRDefault="000E590A" w:rsidP="000E590A">
      <w:pPr>
        <w:jc w:val="both"/>
        <w:rPr>
          <w:rFonts w:ascii="Book Antiqua" w:hAnsi="Book Antiqua"/>
          <w:color w:val="000000" w:themeColor="text1"/>
          <w:lang w:val="sr-Latn-RS"/>
        </w:rPr>
      </w:pPr>
      <w:r w:rsidRPr="00BF72C4">
        <w:rPr>
          <w:rFonts w:ascii="Book Antiqua" w:hAnsi="Book Antiqua"/>
          <w:color w:val="000000" w:themeColor="text1"/>
          <w:lang w:val="sr-Latn-RS"/>
        </w:rPr>
        <w:t>U 2014.godini, od 1.712 osuđenih punoletnih lica za nasilje u porodici, 98 lica su žene, dok muškarci čine oko 94% ukupno osuđenih punoletnih lica za krivično delo nasilje u porodici. Po pitanju vrste kazne na koju su ova lica osuđena, 634 lica (37%) su osuđena na kaznu zatvora, i to 1 lice na kaznu 5-10 godina zatvora, 3 lica na kaznu 3-5 godina zatvora, 21 lice na kaznu 2-3 godine zatvora, 44 lica na kaznu 1-2 godine zatvora, 166 lica na kaznu 6-12 meseci zatvora, 262 lica na kaznu 3-6 meseci zatvora, 109 lica na kaznu 2-3 meseca zatvora i 28 lica na kaznu do 2 meseca zatvora. Ukupno 13, manje od 1%, lica je osuđeno na novčanu kaznu, pri čemu njih 10 na novčanu kaznu 10.000-100.000 RSD. 1.041 lice, odnosno 60% osuđenih punoletnih lica, je osuđeno na uslovnu osudu, 14 lica (manje od 1%) na rad u javnom interesu, dva lica su proglašena krivim i oslobođeni od kazne, dok je za 24 lica (1,5%) izrečena sporedna kazna. 60-toro dece mlađih od 14 godina i 53 maloletnika starih 14-18godina je bilo žrtva nasilja u porodici.</w:t>
      </w:r>
      <w:r w:rsidRPr="00BF72C4">
        <w:rPr>
          <w:rStyle w:val="FootnoteReference"/>
          <w:rFonts w:ascii="Book Antiqua" w:hAnsi="Book Antiqua"/>
          <w:color w:val="000000" w:themeColor="text1"/>
          <w:lang w:val="sr-Latn-RS"/>
        </w:rPr>
        <w:footnoteReference w:id="99"/>
      </w:r>
      <w:r w:rsidRPr="00BF72C4">
        <w:rPr>
          <w:rFonts w:ascii="Book Antiqua" w:hAnsi="Book Antiqua"/>
          <w:color w:val="000000" w:themeColor="text1"/>
          <w:lang w:val="sr-Latn-RS"/>
        </w:rPr>
        <w:t xml:space="preserve"> </w:t>
      </w:r>
    </w:p>
    <w:p w:rsidR="000E590A" w:rsidRPr="00BF72C4" w:rsidRDefault="000E590A" w:rsidP="000E590A">
      <w:pPr>
        <w:jc w:val="both"/>
        <w:rPr>
          <w:rFonts w:ascii="Book Antiqua" w:hAnsi="Book Antiqua"/>
          <w:color w:val="000000" w:themeColor="text1"/>
          <w:lang w:val="sr-Latn-RS"/>
        </w:rPr>
      </w:pPr>
      <w:r w:rsidRPr="00BF72C4">
        <w:rPr>
          <w:rFonts w:ascii="Book Antiqua" w:hAnsi="Book Antiqua"/>
          <w:color w:val="000000" w:themeColor="text1"/>
          <w:lang w:val="sr-Latn-RS"/>
        </w:rPr>
        <w:t>Po pitanju prijavljivanja za krivično delo zapuštanje i zlostavljanje maloletnog lica, situacija je nešto drugačija, odnosno broj lica koja su prijavljena za izvršenje ovog krivičnog dela je znatno manji. Naime, 88 punoletnih lica je prijavljeno za krivično delo zapuštanje i zlostavljanje maloletnog lica u 2015.godini, dok je godinu dana ranije za isto krivično delo bilo prijavljeno 105 punoletnih lica.</w:t>
      </w:r>
      <w:r w:rsidRPr="00BF72C4">
        <w:rPr>
          <w:rStyle w:val="FootnoteReference"/>
          <w:rFonts w:ascii="Book Antiqua" w:hAnsi="Book Antiqua"/>
          <w:color w:val="000000" w:themeColor="text1"/>
          <w:lang w:val="sr-Latn-RS"/>
        </w:rPr>
        <w:footnoteReference w:id="100"/>
      </w:r>
    </w:p>
    <w:p w:rsidR="00A62BCC" w:rsidRDefault="00A62BCC" w:rsidP="00A62BCC">
      <w:pPr>
        <w:jc w:val="center"/>
        <w:rPr>
          <w:rFonts w:ascii="Book Antiqua" w:hAnsi="Book Antiqua"/>
          <w:color w:val="000000" w:themeColor="text1"/>
          <w:sz w:val="24"/>
          <w:szCs w:val="24"/>
          <w:lang w:val="sr-Latn-RS"/>
        </w:rPr>
      </w:pPr>
      <w:r>
        <w:rPr>
          <w:rFonts w:ascii="Book Antiqua" w:hAnsi="Book Antiqua"/>
          <w:noProof/>
          <w:color w:val="000000" w:themeColor="text1"/>
          <w:sz w:val="24"/>
          <w:szCs w:val="24"/>
          <w:lang w:val="sr-Latn-RS" w:eastAsia="sr-Latn-RS"/>
        </w:rPr>
        <w:drawing>
          <wp:inline distT="0" distB="0" distL="0" distR="0" wp14:anchorId="0BD461CF" wp14:editId="6DB8E989">
            <wp:extent cx="5848350" cy="3019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9">
                      <a:extLst>
                        <a:ext uri="{28A0092B-C50C-407E-A947-70E740481C1C}">
                          <a14:useLocalDpi xmlns:a14="http://schemas.microsoft.com/office/drawing/2010/main" val="0"/>
                        </a:ext>
                      </a:extLst>
                    </a:blip>
                    <a:stretch>
                      <a:fillRect/>
                    </a:stretch>
                  </pic:blipFill>
                  <pic:spPr>
                    <a:xfrm>
                      <a:off x="0" y="0"/>
                      <a:ext cx="5849167" cy="3019847"/>
                    </a:xfrm>
                    <a:prstGeom prst="rect">
                      <a:avLst/>
                    </a:prstGeom>
                  </pic:spPr>
                </pic:pic>
              </a:graphicData>
            </a:graphic>
          </wp:inline>
        </w:drawing>
      </w:r>
    </w:p>
    <w:p w:rsidR="000E590A" w:rsidRDefault="000E590A" w:rsidP="000E590A">
      <w:pPr>
        <w:jc w:val="both"/>
        <w:rPr>
          <w:rFonts w:ascii="Book Antiqua" w:hAnsi="Book Antiqua"/>
          <w:color w:val="000000" w:themeColor="text1"/>
          <w:lang w:val="sr-Latn-RS"/>
        </w:rPr>
      </w:pPr>
      <w:r w:rsidRPr="00BF72C4">
        <w:rPr>
          <w:rFonts w:ascii="Book Antiqua" w:hAnsi="Book Antiqua"/>
          <w:color w:val="000000" w:themeColor="text1"/>
          <w:lang w:val="sr-Latn-RS"/>
        </w:rPr>
        <w:t>U 2014.godini, od 43 osuđenih punoletnih lica za zapuštanje i zlostavljanje maloletnog lica, 23 lica odnosno 53% su žene. Po pitanju vrste kazne na koju su ova lica osuđena, 12 lica (28%) su osuđena na kaznu zatvora, i to 1 lice na kaznu 1-2 godine zatvora, 3 lica na kaznu 6-12 meseci zatvora, 6 lica na kaznu 3-6 meseci zatvora i 2 lica na kaznu 2-3 meseca zatvora. Za ovo krivično delo u 2014.godini nije bilo osuđenih na novčanu kaznu. 27 lica, odnosno 63% osuđenih punoletnih lica, je osuđeno na uslovnu osudu, 3 lica (7%) na rad u javnom interesu i jedno lice je proglašeno krivim i oslobođeno od kazne. Devetnaestoro dece mlađih od 14 godina i 6 maloletnika starih 14-18godina je bilo žrtva zapuštanje i zlostavljanje maloletnog lica.</w:t>
      </w:r>
      <w:r w:rsidRPr="00BF72C4">
        <w:rPr>
          <w:rStyle w:val="FootnoteReference"/>
          <w:rFonts w:ascii="Book Antiqua" w:hAnsi="Book Antiqua"/>
          <w:color w:val="000000" w:themeColor="text1"/>
          <w:lang w:val="sr-Latn-RS"/>
        </w:rPr>
        <w:footnoteReference w:id="101"/>
      </w:r>
      <w:r w:rsidRPr="00BF72C4">
        <w:rPr>
          <w:rFonts w:ascii="Book Antiqua" w:hAnsi="Book Antiqua"/>
          <w:color w:val="000000" w:themeColor="text1"/>
          <w:lang w:val="sr-Latn-RS"/>
        </w:rPr>
        <w:t xml:space="preserve"> </w:t>
      </w:r>
    </w:p>
    <w:p w:rsidR="007F3E12" w:rsidRPr="00BF72C4" w:rsidRDefault="007F3E12" w:rsidP="007F3E12">
      <w:pPr>
        <w:jc w:val="both"/>
        <w:rPr>
          <w:rFonts w:ascii="Book Antiqua" w:hAnsi="Book Antiqua"/>
          <w:color w:val="000000" w:themeColor="text1"/>
          <w:lang w:val="sr-Latn-RS"/>
        </w:rPr>
      </w:pPr>
      <w:r w:rsidRPr="00BF72C4">
        <w:rPr>
          <w:rFonts w:ascii="Book Antiqua" w:hAnsi="Book Antiqua"/>
          <w:color w:val="000000" w:themeColor="text1"/>
          <w:lang w:val="sr-Latn-RS"/>
        </w:rPr>
        <w:t>U ovom slučaju, primetan je pad u broju postupaka koji se vode za krivično delo zapuštanje i zlostavljanje maloletnog lica, i to smanjenje</w:t>
      </w:r>
      <w:r>
        <w:rPr>
          <w:rFonts w:ascii="Book Antiqua" w:hAnsi="Book Antiqua"/>
          <w:color w:val="000000" w:themeColor="text1"/>
          <w:lang w:val="sr-Latn-RS"/>
        </w:rPr>
        <w:t xml:space="preserve"> u visini 16% u odnosu na prethodnu godinu, kao i drastično veći procenat izvršenja ovog krivičnog dela od strane žena za razliku od krivičnog dela nasilje u porodici.</w:t>
      </w:r>
    </w:p>
    <w:p w:rsidR="007F3E12" w:rsidRPr="00BF72C4" w:rsidRDefault="007F3E12" w:rsidP="000E590A">
      <w:pPr>
        <w:jc w:val="both"/>
        <w:rPr>
          <w:rFonts w:ascii="Book Antiqua" w:hAnsi="Book Antiqua"/>
          <w:color w:val="000000" w:themeColor="text1"/>
          <w:lang w:val="sr-Latn-RS"/>
        </w:rPr>
      </w:pPr>
      <w:r>
        <w:rPr>
          <w:rFonts w:ascii="Book Antiqua" w:hAnsi="Book Antiqua"/>
          <w:color w:val="000000" w:themeColor="text1"/>
          <w:lang w:val="sr-Latn-RS"/>
        </w:rPr>
        <w:t xml:space="preserve"> </w:t>
      </w:r>
    </w:p>
    <w:p w:rsidR="000E590A" w:rsidRPr="00BF72C4" w:rsidRDefault="000E590A" w:rsidP="000E590A">
      <w:pPr>
        <w:jc w:val="both"/>
        <w:rPr>
          <w:rFonts w:ascii="Book Antiqua" w:hAnsi="Book Antiqua"/>
          <w:color w:val="000000" w:themeColor="text1"/>
          <w:lang w:val="sr-Latn-RS"/>
        </w:rPr>
      </w:pPr>
      <w:r w:rsidRPr="00BF72C4">
        <w:rPr>
          <w:rFonts w:ascii="Book Antiqua" w:hAnsi="Book Antiqua"/>
          <w:color w:val="000000" w:themeColor="text1"/>
          <w:lang w:val="sr-Latn-RS"/>
        </w:rPr>
        <w:t>Kada govorimo o izrečenim merama bezbednosti, podaci koji su na raspolaganju jesu iz 2014.godine, a prema kojima su mere bezbednosti u postupcima za krivično delo nasilje u porodici, izrečene u 30 slučajeva, od ukupno 2.215 optuženih lica, dok je za krivično delo zapuštanje i zlostavljanje maloletnog lica, mera bezbednosti izrečena samo u 1 slučaju.</w:t>
      </w:r>
      <w:r w:rsidRPr="00BF72C4">
        <w:rPr>
          <w:rStyle w:val="FootnoteReference"/>
          <w:rFonts w:ascii="Book Antiqua" w:hAnsi="Book Antiqua"/>
          <w:color w:val="000000" w:themeColor="text1"/>
          <w:lang w:val="sr-Latn-RS"/>
        </w:rPr>
        <w:footnoteReference w:id="102"/>
      </w:r>
    </w:p>
    <w:p w:rsidR="000E590A" w:rsidRPr="00BF72C4" w:rsidRDefault="000E590A" w:rsidP="000E590A">
      <w:pPr>
        <w:jc w:val="both"/>
        <w:rPr>
          <w:rFonts w:ascii="Book Antiqua" w:hAnsi="Book Antiqua"/>
          <w:color w:val="000000" w:themeColor="text1"/>
          <w:lang w:val="sr-Latn-RS"/>
        </w:rPr>
      </w:pPr>
      <w:r w:rsidRPr="00BF72C4">
        <w:rPr>
          <w:rFonts w:ascii="Book Antiqua" w:hAnsi="Book Antiqua"/>
          <w:color w:val="000000" w:themeColor="text1"/>
          <w:lang w:val="sr-Latn-RS"/>
        </w:rPr>
        <w:t>Na osnovu podataka Centara za socijalni rad, primetan je značajan porast broja prijava za nasilje nad decom od 2013.godine na dalje, konkretno u 2015.godini je prijavljeno 6.520 nasilja nad decom, što je značajan porast u odnosu na 2014.godinu kada je broj prijavljenih bio manji od 5.000.</w:t>
      </w:r>
      <w:r w:rsidRPr="00BF72C4">
        <w:rPr>
          <w:rStyle w:val="FootnoteReference"/>
          <w:rFonts w:ascii="Book Antiqua" w:hAnsi="Book Antiqua"/>
          <w:color w:val="000000" w:themeColor="text1"/>
          <w:lang w:val="sr-Latn-RS"/>
        </w:rPr>
        <w:footnoteReference w:id="103"/>
      </w:r>
      <w:r w:rsidRPr="00BF72C4">
        <w:rPr>
          <w:rFonts w:ascii="Book Antiqua" w:hAnsi="Book Antiqua"/>
          <w:color w:val="000000" w:themeColor="text1"/>
          <w:lang w:val="sr-Latn-RS"/>
        </w:rPr>
        <w:t xml:space="preserve">  </w:t>
      </w:r>
    </w:p>
    <w:p w:rsidR="007D7580" w:rsidRDefault="007D7580" w:rsidP="003D497D">
      <w:pPr>
        <w:jc w:val="both"/>
        <w:rPr>
          <w:rFonts w:ascii="Book Antiqua" w:hAnsi="Book Antiqua"/>
          <w:color w:val="000000" w:themeColor="text1"/>
          <w:sz w:val="24"/>
          <w:szCs w:val="24"/>
          <w:lang w:val="sr-Latn-RS"/>
        </w:rPr>
      </w:pPr>
      <w:r>
        <w:rPr>
          <w:rFonts w:ascii="Book Antiqua" w:hAnsi="Book Antiqua"/>
          <w:noProof/>
          <w:color w:val="000000" w:themeColor="text1"/>
          <w:sz w:val="24"/>
          <w:szCs w:val="24"/>
          <w:lang w:val="sr-Latn-RS" w:eastAsia="sr-Latn-RS"/>
        </w:rPr>
        <w:drawing>
          <wp:inline distT="0" distB="0" distL="0" distR="0" wp14:anchorId="69E41478" wp14:editId="6DF2286A">
            <wp:extent cx="5943600" cy="2724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java nasilja nad decom 2011 2015.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2724150"/>
                    </a:xfrm>
                    <a:prstGeom prst="rect">
                      <a:avLst/>
                    </a:prstGeom>
                  </pic:spPr>
                </pic:pic>
              </a:graphicData>
            </a:graphic>
          </wp:inline>
        </w:drawing>
      </w:r>
    </w:p>
    <w:p w:rsidR="000E590A" w:rsidRPr="00BF72C4" w:rsidRDefault="000E590A" w:rsidP="000E590A">
      <w:pPr>
        <w:jc w:val="both"/>
        <w:rPr>
          <w:rFonts w:ascii="Book Antiqua" w:hAnsi="Book Antiqua"/>
          <w:color w:val="000000" w:themeColor="text1"/>
          <w:lang w:val="sr-Latn-RS"/>
        </w:rPr>
      </w:pPr>
      <w:r w:rsidRPr="00BF72C4">
        <w:rPr>
          <w:rFonts w:ascii="Book Antiqua" w:hAnsi="Book Antiqua"/>
          <w:color w:val="000000" w:themeColor="text1"/>
          <w:lang w:val="sr-Latn-RS"/>
        </w:rPr>
        <w:t>Struktura nasilja nad decom prema prijavama nasilja podnetih Centrima za socijalni rad u 2015.godini, pokazuje da je najviše prijava podneto zbog zanemarivanja deteta, odnosno ukupno 2.890 prijava, zatim prijave za fizičko nasilje ukupno 1.772, potom 1.501 prijava za psihičko nasilje, slede prijave za seksualno nasilje ukupno 115, 45 prijava za ekonomsko nasilje i 197 prijave za druge oblike nasilja nad decom.</w:t>
      </w:r>
      <w:r w:rsidRPr="00BF72C4">
        <w:rPr>
          <w:rStyle w:val="FootnoteReference"/>
          <w:rFonts w:ascii="Book Antiqua" w:hAnsi="Book Antiqua"/>
          <w:color w:val="000000" w:themeColor="text1"/>
          <w:lang w:val="sr-Latn-RS"/>
        </w:rPr>
        <w:footnoteReference w:id="104"/>
      </w:r>
      <w:r w:rsidRPr="00BF72C4">
        <w:rPr>
          <w:rFonts w:ascii="Book Antiqua" w:hAnsi="Book Antiqua"/>
          <w:color w:val="000000" w:themeColor="text1"/>
          <w:lang w:val="sr-Latn-RS"/>
        </w:rPr>
        <w:t xml:space="preserve"> </w:t>
      </w:r>
    </w:p>
    <w:p w:rsidR="00464A79" w:rsidRDefault="007D7580" w:rsidP="003D497D">
      <w:pPr>
        <w:jc w:val="both"/>
        <w:rPr>
          <w:rFonts w:ascii="Book Antiqua" w:hAnsi="Book Antiqua"/>
          <w:color w:val="000000" w:themeColor="text1"/>
          <w:sz w:val="24"/>
          <w:szCs w:val="24"/>
          <w:lang w:val="sr-Latn-RS"/>
        </w:rPr>
      </w:pPr>
      <w:r>
        <w:rPr>
          <w:rFonts w:ascii="Book Antiqua" w:hAnsi="Book Antiqua"/>
          <w:noProof/>
          <w:color w:val="000000" w:themeColor="text1"/>
          <w:sz w:val="24"/>
          <w:szCs w:val="24"/>
          <w:lang w:val="sr-Latn-RS" w:eastAsia="sr-Latn-RS"/>
        </w:rPr>
        <w:drawing>
          <wp:inline distT="0" distB="0" distL="0" distR="0" wp14:anchorId="7E056F21" wp14:editId="31853229">
            <wp:extent cx="5848350" cy="2952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java nasilja nad decom 2015 struktura.png"/>
                    <pic:cNvPicPr/>
                  </pic:nvPicPr>
                  <pic:blipFill>
                    <a:blip r:embed="rId11">
                      <a:extLst>
                        <a:ext uri="{28A0092B-C50C-407E-A947-70E740481C1C}">
                          <a14:useLocalDpi xmlns:a14="http://schemas.microsoft.com/office/drawing/2010/main" val="0"/>
                        </a:ext>
                      </a:extLst>
                    </a:blip>
                    <a:stretch>
                      <a:fillRect/>
                    </a:stretch>
                  </pic:blipFill>
                  <pic:spPr>
                    <a:xfrm>
                      <a:off x="0" y="0"/>
                      <a:ext cx="5849167" cy="2953163"/>
                    </a:xfrm>
                    <a:prstGeom prst="rect">
                      <a:avLst/>
                    </a:prstGeom>
                  </pic:spPr>
                </pic:pic>
              </a:graphicData>
            </a:graphic>
          </wp:inline>
        </w:drawing>
      </w:r>
    </w:p>
    <w:p w:rsidR="000E590A" w:rsidRDefault="000E590A" w:rsidP="000E590A">
      <w:pPr>
        <w:jc w:val="both"/>
        <w:rPr>
          <w:rFonts w:ascii="Book Antiqua" w:hAnsi="Book Antiqua"/>
          <w:color w:val="000000" w:themeColor="text1"/>
          <w:lang w:val="sr-Latn-RS"/>
        </w:rPr>
      </w:pPr>
      <w:r w:rsidRPr="00BF72C4">
        <w:rPr>
          <w:rFonts w:ascii="Book Antiqua" w:hAnsi="Book Antiqua"/>
          <w:color w:val="000000" w:themeColor="text1"/>
          <w:lang w:val="sr-Latn-RS"/>
        </w:rPr>
        <w:t>Kod razvrstavanja slučajeva prijave nasilja nad decom po polu, može se primetiti da je proporcijalna prijava nasilja nad dečacima i devojčicama kod svih oblika nasilja izuzev kod slučajeva seksualnog nasilja, odnosno u 2015.godini u 82,6% slučajeva je prijavljeno seksualno nasilje nad devojčicama.</w:t>
      </w:r>
      <w:r w:rsidRPr="00BF72C4">
        <w:rPr>
          <w:rStyle w:val="FootnoteReference"/>
          <w:rFonts w:ascii="Book Antiqua" w:hAnsi="Book Antiqua"/>
          <w:color w:val="000000" w:themeColor="text1"/>
          <w:lang w:val="sr-Latn-RS"/>
        </w:rPr>
        <w:footnoteReference w:id="105"/>
      </w:r>
    </w:p>
    <w:p w:rsidR="000E590A" w:rsidRDefault="000E590A" w:rsidP="000E590A">
      <w:pPr>
        <w:jc w:val="center"/>
        <w:rPr>
          <w:rFonts w:ascii="Book Antiqua" w:hAnsi="Book Antiqua"/>
          <w:color w:val="000000" w:themeColor="text1"/>
          <w:sz w:val="24"/>
          <w:szCs w:val="24"/>
          <w:lang w:val="sr-Latn-RS"/>
        </w:rPr>
      </w:pPr>
      <w:r>
        <w:rPr>
          <w:rFonts w:ascii="Book Antiqua" w:hAnsi="Book Antiqua"/>
          <w:noProof/>
          <w:color w:val="000000" w:themeColor="text1"/>
          <w:sz w:val="24"/>
          <w:szCs w:val="24"/>
          <w:lang w:val="sr-Latn-RS" w:eastAsia="sr-Latn-RS"/>
        </w:rPr>
        <w:drawing>
          <wp:inline distT="0" distB="0" distL="0" distR="0">
            <wp:extent cx="5943600" cy="29248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2924810"/>
                    </a:xfrm>
                    <a:prstGeom prst="rect">
                      <a:avLst/>
                    </a:prstGeom>
                  </pic:spPr>
                </pic:pic>
              </a:graphicData>
            </a:graphic>
          </wp:inline>
        </w:drawing>
      </w:r>
    </w:p>
    <w:p w:rsidR="000E590A" w:rsidRPr="00BF72C4" w:rsidRDefault="000E590A" w:rsidP="000E590A">
      <w:pPr>
        <w:jc w:val="both"/>
        <w:rPr>
          <w:rFonts w:ascii="Book Antiqua" w:hAnsi="Book Antiqua"/>
          <w:color w:val="000000" w:themeColor="text1"/>
          <w:lang w:val="sr-Latn-RS"/>
        </w:rPr>
      </w:pPr>
      <w:r w:rsidRPr="00BF72C4">
        <w:rPr>
          <w:rFonts w:ascii="Book Antiqua" w:hAnsi="Book Antiqua"/>
          <w:color w:val="000000" w:themeColor="text1"/>
          <w:lang w:val="sr-Latn-RS"/>
        </w:rPr>
        <w:t>U 2015.g</w:t>
      </w:r>
      <w:r w:rsidR="00530C4B">
        <w:rPr>
          <w:rFonts w:ascii="Book Antiqua" w:hAnsi="Book Antiqua"/>
          <w:color w:val="000000" w:themeColor="text1"/>
          <w:lang w:val="sr-Latn-RS"/>
        </w:rPr>
        <w:t>odini, u 55% slučajeva, Centri z</w:t>
      </w:r>
      <w:r w:rsidRPr="00BF72C4">
        <w:rPr>
          <w:rFonts w:ascii="Book Antiqua" w:hAnsi="Book Antiqua"/>
          <w:color w:val="000000" w:themeColor="text1"/>
          <w:lang w:val="sr-Latn-RS"/>
        </w:rPr>
        <w:t>a socijalni rad u slučajevima prijave nasilja nad detetom, detetu i porodici pružili su materijalnu, pravnu ili savetodavnu podršku, u 12% slučajeva su dete i roditelji upućeni na usluge koje pružaju druge ustanove, a u 10% slučajeva je Centar za socijalni rad pokrenuo postupak pred sudom.</w:t>
      </w:r>
      <w:r w:rsidRPr="00BF72C4">
        <w:rPr>
          <w:rStyle w:val="FootnoteReference"/>
          <w:rFonts w:ascii="Book Antiqua" w:hAnsi="Book Antiqua"/>
          <w:color w:val="000000" w:themeColor="text1"/>
          <w:lang w:val="sr-Latn-RS"/>
        </w:rPr>
        <w:footnoteReference w:id="106"/>
      </w:r>
    </w:p>
    <w:p w:rsidR="000E590A" w:rsidRDefault="000E590A" w:rsidP="000E590A">
      <w:pPr>
        <w:jc w:val="center"/>
        <w:rPr>
          <w:rFonts w:ascii="Book Antiqua" w:hAnsi="Book Antiqua"/>
          <w:color w:val="000000" w:themeColor="text1"/>
          <w:sz w:val="24"/>
          <w:szCs w:val="24"/>
          <w:lang w:val="sr-Latn-RS"/>
        </w:rPr>
      </w:pPr>
      <w:r>
        <w:rPr>
          <w:rFonts w:ascii="Book Antiqua" w:hAnsi="Book Antiqua"/>
          <w:noProof/>
          <w:color w:val="000000" w:themeColor="text1"/>
          <w:sz w:val="24"/>
          <w:szCs w:val="24"/>
          <w:lang w:val="sr-Latn-RS" w:eastAsia="sr-Latn-RS"/>
        </w:rPr>
        <w:drawing>
          <wp:inline distT="0" distB="0" distL="0" distR="0">
            <wp:extent cx="5611008" cy="3067478"/>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3">
                      <a:extLst>
                        <a:ext uri="{28A0092B-C50C-407E-A947-70E740481C1C}">
                          <a14:useLocalDpi xmlns:a14="http://schemas.microsoft.com/office/drawing/2010/main" val="0"/>
                        </a:ext>
                      </a:extLst>
                    </a:blip>
                    <a:stretch>
                      <a:fillRect/>
                    </a:stretch>
                  </pic:blipFill>
                  <pic:spPr>
                    <a:xfrm>
                      <a:off x="0" y="0"/>
                      <a:ext cx="5611008" cy="3067478"/>
                    </a:xfrm>
                    <a:prstGeom prst="rect">
                      <a:avLst/>
                    </a:prstGeom>
                  </pic:spPr>
                </pic:pic>
              </a:graphicData>
            </a:graphic>
          </wp:inline>
        </w:drawing>
      </w:r>
    </w:p>
    <w:p w:rsidR="000E590A" w:rsidRDefault="000E590A" w:rsidP="000E590A">
      <w:pPr>
        <w:spacing w:line="240" w:lineRule="auto"/>
        <w:jc w:val="both"/>
        <w:rPr>
          <w:rFonts w:ascii="Book Antiqua" w:hAnsi="Book Antiqua"/>
          <w:lang w:val="sr-Latn-RS"/>
        </w:rPr>
      </w:pPr>
      <w:r w:rsidRPr="00E74A36">
        <w:rPr>
          <w:rFonts w:ascii="Book Antiqua" w:hAnsi="Book Antiqua"/>
          <w:color w:val="000000" w:themeColor="text1"/>
          <w:lang w:val="sr-Latn-RS"/>
        </w:rPr>
        <w:t xml:space="preserve">Zanimljivi su statistički podaci o načinima na osnovu kojih sudije utvrđuju da je dete sposobno da formira svoje mišljenje u građanskim sudskim postupcima, prema kojima najčešće sudije procenu prepuštaju Centrima za socijalni rad koji mišljenje daju u svom izveštaju, dok nešto ređe utvrđuju na osnovu uzrasta, </w:t>
      </w:r>
      <w:r w:rsidR="000C2932">
        <w:rPr>
          <w:rFonts w:ascii="Book Antiqua" w:hAnsi="Book Antiqua"/>
          <w:color w:val="000000" w:themeColor="text1"/>
          <w:lang w:val="sr-Latn-RS"/>
        </w:rPr>
        <w:t xml:space="preserve">direktnog </w:t>
      </w:r>
      <w:r w:rsidRPr="00E74A36">
        <w:rPr>
          <w:rFonts w:ascii="Book Antiqua" w:hAnsi="Book Antiqua"/>
          <w:color w:val="000000" w:themeColor="text1"/>
          <w:lang w:val="sr-Latn-RS"/>
        </w:rPr>
        <w:t>razgovora sa detetom ili putem veštačenja</w:t>
      </w:r>
      <w:r w:rsidRPr="00E74A36">
        <w:rPr>
          <w:rFonts w:ascii="Book Antiqua" w:hAnsi="Book Antiqua"/>
          <w:lang w:val="sr-Latn-RS"/>
        </w:rPr>
        <w:t>.</w:t>
      </w:r>
      <w:r w:rsidRPr="00E74A36">
        <w:rPr>
          <w:rStyle w:val="FootnoteReference"/>
          <w:rFonts w:ascii="Book Antiqua" w:hAnsi="Book Antiqua"/>
          <w:lang w:val="sr-Latn-RS"/>
        </w:rPr>
        <w:footnoteReference w:id="107"/>
      </w:r>
    </w:p>
    <w:p w:rsidR="000E590A" w:rsidRPr="000E590A" w:rsidRDefault="000E590A" w:rsidP="000E590A">
      <w:pPr>
        <w:spacing w:line="240" w:lineRule="auto"/>
        <w:jc w:val="both"/>
        <w:rPr>
          <w:rFonts w:ascii="Book Antiqua" w:hAnsi="Book Antiqua"/>
          <w:sz w:val="10"/>
          <w:szCs w:val="10"/>
          <w:lang w:val="sr-Latn-RS"/>
        </w:rPr>
      </w:pPr>
    </w:p>
    <w:p w:rsidR="00934A3B" w:rsidRPr="003D497D" w:rsidRDefault="000E590A" w:rsidP="000E590A">
      <w:pPr>
        <w:jc w:val="center"/>
        <w:rPr>
          <w:rFonts w:ascii="Book Antiqua" w:hAnsi="Book Antiqua"/>
          <w:color w:val="000000" w:themeColor="text1"/>
          <w:sz w:val="24"/>
          <w:szCs w:val="24"/>
          <w:lang w:val="sr-Latn-RS"/>
        </w:rPr>
      </w:pPr>
      <w:r>
        <w:rPr>
          <w:rFonts w:ascii="Book Antiqua" w:hAnsi="Book Antiqua"/>
          <w:noProof/>
          <w:color w:val="000000" w:themeColor="text1"/>
          <w:sz w:val="24"/>
          <w:szCs w:val="24"/>
          <w:lang w:val="sr-Latn-RS" w:eastAsia="sr-Latn-RS"/>
        </w:rPr>
        <w:drawing>
          <wp:inline distT="0" distB="0" distL="0" distR="0">
            <wp:extent cx="4657725" cy="2247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4">
                      <a:extLst>
                        <a:ext uri="{28A0092B-C50C-407E-A947-70E740481C1C}">
                          <a14:useLocalDpi xmlns:a14="http://schemas.microsoft.com/office/drawing/2010/main" val="0"/>
                        </a:ext>
                      </a:extLst>
                    </a:blip>
                    <a:stretch>
                      <a:fillRect/>
                    </a:stretch>
                  </pic:blipFill>
                  <pic:spPr>
                    <a:xfrm>
                      <a:off x="0" y="0"/>
                      <a:ext cx="4658375" cy="2248214"/>
                    </a:xfrm>
                    <a:prstGeom prst="rect">
                      <a:avLst/>
                    </a:prstGeom>
                  </pic:spPr>
                </pic:pic>
              </a:graphicData>
            </a:graphic>
          </wp:inline>
        </w:drawing>
      </w:r>
      <w:r w:rsidR="00934A3B">
        <w:rPr>
          <w:rFonts w:ascii="Book Antiqua" w:hAnsi="Book Antiqua"/>
          <w:color w:val="000000" w:themeColor="text1"/>
          <w:sz w:val="24"/>
          <w:szCs w:val="24"/>
          <w:lang w:val="sr-Latn-RS"/>
        </w:rPr>
        <w:br w:type="page"/>
      </w:r>
    </w:p>
    <w:p w:rsidR="00651066" w:rsidRPr="00651066" w:rsidRDefault="00651066" w:rsidP="00651066">
      <w:pPr>
        <w:pStyle w:val="Heading1"/>
        <w:numPr>
          <w:ilvl w:val="0"/>
          <w:numId w:val="4"/>
        </w:numPr>
        <w:jc w:val="center"/>
        <w:rPr>
          <w:rFonts w:ascii="Book Antiqua" w:hAnsi="Book Antiqua"/>
          <w:color w:val="000000" w:themeColor="text1"/>
          <w:sz w:val="24"/>
          <w:szCs w:val="24"/>
          <w:lang w:val="sr-Latn-RS"/>
        </w:rPr>
      </w:pPr>
      <w:r w:rsidRPr="00651066">
        <w:rPr>
          <w:rFonts w:ascii="Book Antiqua" w:hAnsi="Book Antiqua"/>
          <w:color w:val="000000" w:themeColor="text1"/>
          <w:sz w:val="24"/>
          <w:szCs w:val="24"/>
          <w:lang w:val="sr-Latn-RS"/>
        </w:rPr>
        <w:t>ZAKLJUČAK</w:t>
      </w:r>
    </w:p>
    <w:p w:rsidR="003376EB" w:rsidRDefault="003376EB" w:rsidP="00F05399">
      <w:pPr>
        <w:spacing w:line="240" w:lineRule="auto"/>
        <w:rPr>
          <w:rFonts w:ascii="Book Antiqua" w:hAnsi="Book Antiqua"/>
          <w:b/>
          <w:lang w:val="sr-Latn-RS"/>
        </w:rPr>
      </w:pPr>
    </w:p>
    <w:p w:rsidR="000C7FF8" w:rsidRDefault="002B71DC" w:rsidP="00B377F0">
      <w:pPr>
        <w:spacing w:line="240" w:lineRule="auto"/>
        <w:jc w:val="both"/>
        <w:rPr>
          <w:rFonts w:ascii="Book Antiqua" w:hAnsi="Book Antiqua" w:cs="PalatinoLinotype"/>
        </w:rPr>
      </w:pPr>
      <w:r w:rsidRPr="002B71DC">
        <w:rPr>
          <w:rFonts w:ascii="Book Antiqua" w:hAnsi="Book Antiqua" w:cs="PalatinoLinotype"/>
        </w:rPr>
        <w:t>Analizom</w:t>
      </w:r>
      <w:r>
        <w:rPr>
          <w:rFonts w:ascii="Book Antiqua" w:hAnsi="Book Antiqua" w:cs="PalatinoLinotype"/>
        </w:rPr>
        <w:t xml:space="preserve"> nacionalnog zakonodavstva, međunarodnih dokumenata i opšteprihvaćenih standarda međunarodnog prava koji s</w:t>
      </w:r>
      <w:r w:rsidR="00C57428">
        <w:rPr>
          <w:rFonts w:ascii="Book Antiqua" w:hAnsi="Book Antiqua" w:cs="PalatinoLinotype"/>
        </w:rPr>
        <w:t>e</w:t>
      </w:r>
      <w:r w:rsidR="00ED00F2">
        <w:rPr>
          <w:rFonts w:ascii="Book Antiqua" w:hAnsi="Book Antiqua" w:cs="PalatinoLinotype"/>
        </w:rPr>
        <w:t xml:space="preserve"> odnose </w:t>
      </w:r>
      <w:proofErr w:type="gramStart"/>
      <w:r w:rsidR="00ED00F2">
        <w:rPr>
          <w:rFonts w:ascii="Book Antiqua" w:hAnsi="Book Antiqua" w:cs="PalatinoLinotype"/>
        </w:rPr>
        <w:t>na</w:t>
      </w:r>
      <w:proofErr w:type="gramEnd"/>
      <w:r w:rsidR="00ED00F2">
        <w:rPr>
          <w:rFonts w:ascii="Book Antiqua" w:hAnsi="Book Antiqua" w:cs="PalatinoLinotype"/>
        </w:rPr>
        <w:t xml:space="preserve"> zaštitu dec</w:t>
      </w:r>
      <w:r>
        <w:rPr>
          <w:rFonts w:ascii="Book Antiqua" w:hAnsi="Book Antiqua" w:cs="PalatinoLinotype"/>
        </w:rPr>
        <w:t xml:space="preserve">e od nasilja, zlostavljanja i zanemarivanja i analizom implementacije istih, može se zaključiti da postoji </w:t>
      </w:r>
      <w:r w:rsidR="000C7FF8">
        <w:rPr>
          <w:rFonts w:ascii="Book Antiqua" w:hAnsi="Book Antiqua" w:cs="PalatinoLinotype"/>
        </w:rPr>
        <w:t xml:space="preserve">potreba za unifikovanim definisanjem osnovnih pojmova u ovoj oblasti u cilju standardizacije koja bi vodila do preciznije primene pravnih dokumenata. </w:t>
      </w:r>
    </w:p>
    <w:p w:rsidR="00AB0C51" w:rsidRDefault="000C7FF8" w:rsidP="00B377F0">
      <w:pPr>
        <w:spacing w:line="240" w:lineRule="auto"/>
        <w:jc w:val="both"/>
        <w:rPr>
          <w:rFonts w:ascii="Book Antiqua" w:hAnsi="Book Antiqua" w:cs="PalatinoLinotype"/>
        </w:rPr>
      </w:pPr>
      <w:r w:rsidRPr="000C7FF8">
        <w:rPr>
          <w:rFonts w:ascii="Book Antiqua" w:hAnsi="Book Antiqua" w:cs="PalatinoLinotype"/>
        </w:rPr>
        <w:t xml:space="preserve">Na nacionalnom nivou je uočena </w:t>
      </w:r>
      <w:r w:rsidR="002B71DC" w:rsidRPr="000C7FF8">
        <w:rPr>
          <w:rFonts w:ascii="Book Antiqua" w:hAnsi="Book Antiqua" w:cs="PalatinoLinotype"/>
        </w:rPr>
        <w:t xml:space="preserve">potreba za daljim usklađivanjem nacionalnog zakonodavstva i </w:t>
      </w:r>
      <w:r w:rsidRPr="000C7FF8">
        <w:rPr>
          <w:rFonts w:ascii="Book Antiqua" w:hAnsi="Book Antiqua" w:cs="PalatinoLinotype"/>
        </w:rPr>
        <w:t xml:space="preserve">kontinuiranom </w:t>
      </w:r>
      <w:r w:rsidR="002B71DC" w:rsidRPr="000C7FF8">
        <w:rPr>
          <w:rFonts w:ascii="Book Antiqua" w:hAnsi="Book Antiqua" w:cs="PalatinoLinotype"/>
        </w:rPr>
        <w:t xml:space="preserve">primenom ratifikovanih međunarodnih dokumenata, </w:t>
      </w:r>
      <w:r w:rsidRPr="000C7FF8">
        <w:rPr>
          <w:rFonts w:ascii="Book Antiqua" w:hAnsi="Book Antiqua" w:cs="PalatinoLinotype"/>
        </w:rPr>
        <w:t>kao</w:t>
      </w:r>
      <w:r w:rsidR="002B71DC" w:rsidRPr="000C7FF8">
        <w:rPr>
          <w:rFonts w:ascii="Book Antiqua" w:hAnsi="Book Antiqua" w:cs="PalatinoLinotype"/>
        </w:rPr>
        <w:t xml:space="preserve"> i za dodatnom edukacijom relevantnih aktera u zaštiti deteta od nasilja, zlostavljanja i zanemarivanja, radi uspostavljanj</w:t>
      </w:r>
      <w:r w:rsidR="00AB0C51" w:rsidRPr="000C7FF8">
        <w:rPr>
          <w:rFonts w:ascii="Book Antiqua" w:hAnsi="Book Antiqua" w:cs="PalatinoLinotype"/>
        </w:rPr>
        <w:t>a</w:t>
      </w:r>
      <w:r w:rsidR="002B71DC" w:rsidRPr="000C7FF8">
        <w:rPr>
          <w:rFonts w:ascii="Book Antiqua" w:hAnsi="Book Antiqua" w:cs="PalatinoLinotype"/>
        </w:rPr>
        <w:t xml:space="preserve"> efikasnog i delotvornog mehanizna za pružanje zaštite od strane svih učinilaca koji se na bilo koji način bave pitanjima zaštite deteta od nasilja, zlostavljanja i zanemarivanja</w:t>
      </w:r>
      <w:r w:rsidR="00AB0C51" w:rsidRPr="000C7FF8">
        <w:rPr>
          <w:rFonts w:ascii="Book Antiqua" w:hAnsi="Book Antiqua" w:cs="PalatinoLinotype"/>
        </w:rPr>
        <w:t>.</w:t>
      </w:r>
      <w:r w:rsidR="007D3A01" w:rsidRPr="000C7FF8">
        <w:rPr>
          <w:rFonts w:ascii="Book Antiqua" w:hAnsi="Book Antiqua" w:cs="PalatinoLinotype"/>
        </w:rPr>
        <w:t xml:space="preserve"> </w:t>
      </w:r>
      <w:r w:rsidRPr="000C7FF8">
        <w:rPr>
          <w:rFonts w:ascii="Book Antiqua" w:hAnsi="Book Antiqua" w:cs="PalatinoLinotype"/>
        </w:rPr>
        <w:t>Primećen</w:t>
      </w:r>
      <w:r w:rsidR="00AB0C51">
        <w:rPr>
          <w:rFonts w:ascii="Book Antiqua" w:hAnsi="Book Antiqua" w:cs="PalatinoLinotype"/>
        </w:rPr>
        <w:t xml:space="preserve"> je problem </w:t>
      </w:r>
      <w:r>
        <w:rPr>
          <w:rFonts w:ascii="Book Antiqua" w:hAnsi="Book Antiqua" w:cs="PalatinoLinotype"/>
        </w:rPr>
        <w:t>pri</w:t>
      </w:r>
      <w:r w:rsidR="00AB0C51">
        <w:rPr>
          <w:rFonts w:ascii="Book Antiqua" w:hAnsi="Book Antiqua" w:cs="PalatinoLinotype"/>
        </w:rPr>
        <w:t xml:space="preserve"> kvalifik</w:t>
      </w:r>
      <w:r>
        <w:rPr>
          <w:rFonts w:ascii="Book Antiqua" w:hAnsi="Book Antiqua" w:cs="PalatinoLinotype"/>
        </w:rPr>
        <w:t>ovanju</w:t>
      </w:r>
      <w:r w:rsidR="00AB0C51">
        <w:rPr>
          <w:rFonts w:ascii="Book Antiqua" w:hAnsi="Book Antiqua" w:cs="PalatinoLinotype"/>
        </w:rPr>
        <w:t xml:space="preserve"> krivičnog dela, usled nedovoljne preciznosti zakonopisca kao i usled praktičnih problema nepost</w:t>
      </w:r>
      <w:r>
        <w:rPr>
          <w:rFonts w:ascii="Book Antiqua" w:hAnsi="Book Antiqua" w:cs="PalatinoLinotype"/>
        </w:rPr>
        <w:t>ojanja dovoljno dokaza za pravnu</w:t>
      </w:r>
      <w:r w:rsidR="00AB0C51">
        <w:rPr>
          <w:rFonts w:ascii="Book Antiqua" w:hAnsi="Book Antiqua" w:cs="PalatinoLinotype"/>
        </w:rPr>
        <w:t xml:space="preserve"> kvalifik</w:t>
      </w:r>
      <w:r>
        <w:rPr>
          <w:rFonts w:ascii="Book Antiqua" w:hAnsi="Book Antiqua" w:cs="PalatinoLinotype"/>
        </w:rPr>
        <w:t xml:space="preserve">aciju. </w:t>
      </w:r>
      <w:r w:rsidR="00AB0C51">
        <w:rPr>
          <w:rFonts w:ascii="Book Antiqua" w:hAnsi="Book Antiqua" w:cs="PalatinoLinotype"/>
        </w:rPr>
        <w:t xml:space="preserve">  </w:t>
      </w:r>
      <w:r w:rsidR="002B71DC">
        <w:rPr>
          <w:rFonts w:ascii="Book Antiqua" w:hAnsi="Book Antiqua" w:cs="PalatinoLinotype"/>
        </w:rPr>
        <w:t xml:space="preserve"> </w:t>
      </w:r>
    </w:p>
    <w:p w:rsidR="002B71DC" w:rsidRDefault="000C7FF8" w:rsidP="00B377F0">
      <w:pPr>
        <w:spacing w:line="240" w:lineRule="auto"/>
        <w:jc w:val="both"/>
        <w:rPr>
          <w:rFonts w:ascii="Book Antiqua" w:hAnsi="Book Antiqua" w:cs="PalatinoLinotype"/>
        </w:rPr>
      </w:pPr>
      <w:r>
        <w:rPr>
          <w:rFonts w:ascii="Book Antiqua" w:hAnsi="Book Antiqua" w:cs="PalatinoLinotype"/>
        </w:rPr>
        <w:t>Uočena</w:t>
      </w:r>
      <w:r w:rsidR="002B71DC">
        <w:rPr>
          <w:rFonts w:ascii="Book Antiqua" w:hAnsi="Book Antiqua" w:cs="PalatinoLinotype"/>
        </w:rPr>
        <w:t xml:space="preserve"> je potreba uspostavljanja bolje </w:t>
      </w:r>
      <w:r w:rsidR="002B71DC" w:rsidRPr="002B71DC">
        <w:rPr>
          <w:rFonts w:ascii="Book Antiqua" w:hAnsi="Book Antiqua" w:cs="PalatinoLinotype"/>
        </w:rPr>
        <w:t xml:space="preserve">usklađenosti rada </w:t>
      </w:r>
      <w:r w:rsidR="002B71DC">
        <w:rPr>
          <w:rFonts w:ascii="Book Antiqua" w:hAnsi="Book Antiqua" w:cs="PalatinoLinotype"/>
        </w:rPr>
        <w:t xml:space="preserve">svih </w:t>
      </w:r>
      <w:r>
        <w:rPr>
          <w:rFonts w:ascii="Book Antiqua" w:hAnsi="Book Antiqua" w:cs="PalatinoLinotype"/>
        </w:rPr>
        <w:t xml:space="preserve">relevantnih </w:t>
      </w:r>
      <w:r w:rsidR="002B71DC">
        <w:rPr>
          <w:rFonts w:ascii="Book Antiqua" w:hAnsi="Book Antiqua" w:cs="PalatinoLinotype"/>
        </w:rPr>
        <w:t>ustanova, institucija i pojedinaca koji su dužni da štite najbolji interes deteta</w:t>
      </w:r>
      <w:r w:rsidR="002B71DC" w:rsidRPr="002B71DC">
        <w:rPr>
          <w:rFonts w:ascii="Book Antiqua" w:hAnsi="Book Antiqua" w:cs="PalatinoLinotype"/>
        </w:rPr>
        <w:t xml:space="preserve">, jer </w:t>
      </w:r>
      <w:r w:rsidR="002B71DC" w:rsidRPr="000609EB">
        <w:rPr>
          <w:rFonts w:ascii="Book Antiqua" w:hAnsi="Book Antiqua" w:cs="PalatinoLinotype"/>
          <w:b/>
        </w:rPr>
        <w:t>krajnji rezultat traba da bude upravo pravovremena i delotvorna zaštita prava i interesa deteta</w:t>
      </w:r>
      <w:r w:rsidR="002B71DC" w:rsidRPr="002B71DC">
        <w:rPr>
          <w:rFonts w:ascii="Book Antiqua" w:hAnsi="Book Antiqua" w:cs="PalatinoLinotype"/>
        </w:rPr>
        <w:t>.</w:t>
      </w:r>
    </w:p>
    <w:p w:rsidR="002B71DC" w:rsidRPr="002B71DC" w:rsidRDefault="002B71DC" w:rsidP="00B377F0">
      <w:pPr>
        <w:spacing w:line="240" w:lineRule="auto"/>
        <w:jc w:val="both"/>
        <w:rPr>
          <w:rFonts w:ascii="Book Antiqua" w:hAnsi="Book Antiqua" w:cs="PalatinoLinotype"/>
        </w:rPr>
      </w:pPr>
    </w:p>
    <w:p w:rsidR="002B71DC" w:rsidRDefault="002B71DC" w:rsidP="00B377F0">
      <w:pPr>
        <w:spacing w:line="240" w:lineRule="auto"/>
        <w:jc w:val="both"/>
        <w:rPr>
          <w:rFonts w:ascii="Book Antiqua" w:hAnsi="Book Antiqua" w:cs="PalatinoLinotype"/>
          <w:highlight w:val="lightGray"/>
        </w:rPr>
      </w:pPr>
    </w:p>
    <w:p w:rsidR="0003376F" w:rsidRDefault="0003376F">
      <w:pPr>
        <w:rPr>
          <w:rFonts w:ascii="Book Antiqua" w:eastAsiaTheme="majorEastAsia" w:hAnsi="Book Antiqua" w:cstheme="majorBidi"/>
          <w:b/>
          <w:bCs/>
          <w:color w:val="000000" w:themeColor="text1"/>
          <w:sz w:val="24"/>
          <w:szCs w:val="24"/>
          <w:lang w:val="sr-Latn-RS"/>
        </w:rPr>
      </w:pPr>
    </w:p>
    <w:p w:rsidR="00B377F0" w:rsidRDefault="00B377F0">
      <w:pPr>
        <w:rPr>
          <w:rFonts w:ascii="Book Antiqua" w:eastAsiaTheme="majorEastAsia" w:hAnsi="Book Antiqua" w:cstheme="majorBidi"/>
          <w:b/>
          <w:bCs/>
          <w:color w:val="000000" w:themeColor="text1"/>
          <w:sz w:val="24"/>
          <w:szCs w:val="24"/>
          <w:lang w:val="sr-Latn-RS"/>
        </w:rPr>
      </w:pPr>
      <w:r>
        <w:rPr>
          <w:rFonts w:ascii="Book Antiqua" w:hAnsi="Book Antiqua"/>
          <w:color w:val="000000" w:themeColor="text1"/>
          <w:sz w:val="24"/>
          <w:szCs w:val="24"/>
          <w:lang w:val="sr-Latn-RS"/>
        </w:rPr>
        <w:br w:type="page"/>
      </w:r>
    </w:p>
    <w:p w:rsidR="0003376F" w:rsidRDefault="0003376F" w:rsidP="0003376F">
      <w:pPr>
        <w:pStyle w:val="Heading1"/>
        <w:numPr>
          <w:ilvl w:val="0"/>
          <w:numId w:val="4"/>
        </w:numPr>
        <w:jc w:val="center"/>
        <w:rPr>
          <w:rFonts w:ascii="Book Antiqua" w:hAnsi="Book Antiqua"/>
          <w:color w:val="000000" w:themeColor="text1"/>
          <w:sz w:val="24"/>
          <w:szCs w:val="24"/>
          <w:lang w:val="sr-Latn-RS"/>
        </w:rPr>
      </w:pPr>
      <w:r w:rsidRPr="0003376F">
        <w:rPr>
          <w:rFonts w:ascii="Book Antiqua" w:hAnsi="Book Antiqua"/>
          <w:color w:val="000000" w:themeColor="text1"/>
          <w:sz w:val="24"/>
          <w:szCs w:val="24"/>
          <w:lang w:val="sr-Latn-RS"/>
        </w:rPr>
        <w:t>LITERATURA</w:t>
      </w:r>
    </w:p>
    <w:p w:rsidR="000C7FF8" w:rsidRDefault="000C7FF8" w:rsidP="000C7FF8">
      <w:pPr>
        <w:rPr>
          <w:lang w:val="sr-Latn-RS"/>
        </w:rPr>
      </w:pPr>
    </w:p>
    <w:p w:rsidR="000C7FF8" w:rsidRPr="000C7FF8" w:rsidRDefault="000C7FF8" w:rsidP="000C7FF8">
      <w:pPr>
        <w:pStyle w:val="ListParagraph"/>
        <w:numPr>
          <w:ilvl w:val="0"/>
          <w:numId w:val="7"/>
        </w:numPr>
        <w:rPr>
          <w:rFonts w:ascii="Book Antiqua" w:hAnsi="Book Antiqua" w:cs="PalatinoLinotype"/>
        </w:rPr>
      </w:pPr>
      <w:r w:rsidRPr="000C7FF8">
        <w:rPr>
          <w:rFonts w:ascii="Book Antiqua" w:hAnsi="Book Antiqua" w:cs="PalatinoLinotype"/>
        </w:rPr>
        <w:t>Zakon o ratifikaciji Konvencije</w:t>
      </w:r>
      <w:r>
        <w:rPr>
          <w:rFonts w:ascii="Book Antiqua" w:hAnsi="Book Antiqua" w:cs="PalatinoLinotype"/>
        </w:rPr>
        <w:t xml:space="preserve"> Ujedinjenih Nacija</w:t>
      </w:r>
      <w:r w:rsidRPr="000C7FF8">
        <w:rPr>
          <w:rFonts w:ascii="Book Antiqua" w:hAnsi="Book Antiqua" w:cs="PalatinoLinotype"/>
        </w:rPr>
        <w:t xml:space="preserve"> o pravima deteta („Sl.list SFRJ - Međunarodni ugovori“, br 15/90 i „Sl-list SRJ - Međunarodni ugovori“, br 4/96 i 2/97)</w:t>
      </w:r>
    </w:p>
    <w:p w:rsidR="000C7FF8" w:rsidRPr="000C7FF8" w:rsidRDefault="000C7FF8" w:rsidP="000C7FF8">
      <w:pPr>
        <w:pStyle w:val="ListParagraph"/>
        <w:numPr>
          <w:ilvl w:val="0"/>
          <w:numId w:val="7"/>
        </w:numPr>
        <w:rPr>
          <w:rFonts w:ascii="Book Antiqua" w:hAnsi="Book Antiqua" w:cs="PalatinoLinotype"/>
        </w:rPr>
      </w:pPr>
      <w:r w:rsidRPr="000C7FF8">
        <w:rPr>
          <w:rFonts w:ascii="Book Antiqua" w:hAnsi="Book Antiqua" w:cs="PalatinoLinotype"/>
        </w:rPr>
        <w:t>Zakon o potvrđivanju Konvencije Saveta Evrope o sprečavanju i borbi protiv nasilja nad ženama i nasilja u porodici ("Sl. glasnik RS - Međunarodni ugovori", br. 12/2013)</w:t>
      </w:r>
    </w:p>
    <w:p w:rsidR="000C7FF8" w:rsidRPr="000C7FF8" w:rsidRDefault="000C7FF8" w:rsidP="000C7FF8">
      <w:pPr>
        <w:pStyle w:val="ListParagraph"/>
        <w:numPr>
          <w:ilvl w:val="0"/>
          <w:numId w:val="7"/>
        </w:numPr>
        <w:rPr>
          <w:rFonts w:ascii="Book Antiqua" w:hAnsi="Book Antiqua" w:cs="PalatinoLinotype"/>
        </w:rPr>
      </w:pPr>
      <w:r w:rsidRPr="000C7FF8">
        <w:rPr>
          <w:rFonts w:ascii="Book Antiqua" w:hAnsi="Book Antiqua" w:cs="PalatinoLinotype"/>
        </w:rPr>
        <w:t>Zakon o ratifikaciji Evropske Konvencije za zaštitu ljudskih prava i osnovnih sloboda, izmenjene u skladu sa Protokolom br 11, Protokolom br 4, Protokolom br 6, Protokolom br 7, Protokolom br 12 i Protokolom br 13 ("Sl. list SCG - Međunarodni ugovori", br. 9/2003, 5/2005 i 7/2005 - ispr. i "Sl. glasnik RS - Međunarodni ugovori", br. 12/2010 i 10/2015)</w:t>
      </w:r>
    </w:p>
    <w:p w:rsidR="000C7FF8" w:rsidRPr="000C7FF8" w:rsidRDefault="000C7FF8" w:rsidP="000C7FF8">
      <w:pPr>
        <w:pStyle w:val="ListParagraph"/>
        <w:numPr>
          <w:ilvl w:val="0"/>
          <w:numId w:val="7"/>
        </w:numPr>
        <w:rPr>
          <w:rFonts w:ascii="Book Antiqua" w:hAnsi="Book Antiqua" w:cs="PalatinoLinotype"/>
        </w:rPr>
      </w:pPr>
      <w:r w:rsidRPr="000C7FF8">
        <w:rPr>
          <w:rFonts w:ascii="Book Antiqua" w:hAnsi="Book Antiqua" w:cs="PalatinoLinotype"/>
        </w:rPr>
        <w:t>Ustav Republike Srbije ("Sl. glasnik RS", br. 98/2006)</w:t>
      </w:r>
    </w:p>
    <w:p w:rsidR="000C7FF8" w:rsidRPr="000C7FF8" w:rsidRDefault="000C7FF8" w:rsidP="000C7FF8">
      <w:pPr>
        <w:pStyle w:val="ListParagraph"/>
        <w:numPr>
          <w:ilvl w:val="0"/>
          <w:numId w:val="7"/>
        </w:numPr>
        <w:rPr>
          <w:rFonts w:ascii="Book Antiqua" w:hAnsi="Book Antiqua" w:cs="PalatinoLinotype"/>
        </w:rPr>
      </w:pPr>
      <w:r w:rsidRPr="000C7FF8">
        <w:rPr>
          <w:rFonts w:ascii="Book Antiqua" w:hAnsi="Book Antiqua" w:cs="PalatinoLinotype"/>
        </w:rPr>
        <w:t>Porodični zakon ("Sl. glasnik RS", br. 18/2005, 72/2011 - dr. zakon i 6/2015)</w:t>
      </w:r>
    </w:p>
    <w:p w:rsidR="000C7FF8" w:rsidRPr="000C7FF8" w:rsidRDefault="000C7FF8" w:rsidP="000C7FF8">
      <w:pPr>
        <w:pStyle w:val="ListParagraph"/>
        <w:numPr>
          <w:ilvl w:val="0"/>
          <w:numId w:val="7"/>
        </w:numPr>
        <w:rPr>
          <w:rFonts w:ascii="Book Antiqua" w:hAnsi="Book Antiqua" w:cs="PalatinoLinotype"/>
        </w:rPr>
      </w:pPr>
      <w:r w:rsidRPr="000C7FF8">
        <w:rPr>
          <w:rFonts w:ascii="Book Antiqua" w:hAnsi="Book Antiqua" w:cs="PalatinoLinotype"/>
        </w:rPr>
        <w:t>Krivični zakonik ("Sl. glasnik RS", br. 85/2005, 88/2005 - ispr., 107/2005 - ispr., 72/2009, 111/2009, 121/2012, 104/2013 i 108/2014)</w:t>
      </w:r>
    </w:p>
    <w:p w:rsidR="000C7FF8" w:rsidRPr="000C7FF8" w:rsidRDefault="000C7FF8" w:rsidP="000C7FF8">
      <w:pPr>
        <w:pStyle w:val="ListParagraph"/>
        <w:numPr>
          <w:ilvl w:val="0"/>
          <w:numId w:val="7"/>
        </w:numPr>
        <w:rPr>
          <w:rFonts w:ascii="Book Antiqua" w:hAnsi="Book Antiqua" w:cs="PalatinoLinotype"/>
        </w:rPr>
      </w:pPr>
      <w:r w:rsidRPr="000C7FF8">
        <w:rPr>
          <w:rFonts w:ascii="Book Antiqua" w:hAnsi="Book Antiqua" w:cs="PalatinoLinotype"/>
        </w:rPr>
        <w:t>Zakon o posebnim merama za sprečavanje vršenja krivičnih dela protiv polne slobode prema maloletnim licima ("Sl. glasnik RS", br. 32/2013)</w:t>
      </w:r>
    </w:p>
    <w:p w:rsidR="000C7FF8" w:rsidRPr="000C7FF8" w:rsidRDefault="000C7FF8" w:rsidP="000C7FF8">
      <w:pPr>
        <w:pStyle w:val="ListParagraph"/>
        <w:numPr>
          <w:ilvl w:val="0"/>
          <w:numId w:val="7"/>
        </w:numPr>
        <w:rPr>
          <w:rFonts w:ascii="Book Antiqua" w:hAnsi="Book Antiqua" w:cs="PalatinoLinotype"/>
        </w:rPr>
      </w:pPr>
      <w:r w:rsidRPr="000C7FF8">
        <w:rPr>
          <w:rFonts w:ascii="Book Antiqua" w:hAnsi="Book Antiqua" w:cs="PalatinoLinotype"/>
        </w:rPr>
        <w:t>Zakon o osnovama sistema obrazovanja i vaspitanja ("Sl. glasnik RS", br. 72/2009, 52/2011, 55/2013, 35/2015 - autentično tumačenje, 68/2015 i 62/2016 - odluka US)</w:t>
      </w:r>
    </w:p>
    <w:p w:rsidR="000C7FF8" w:rsidRPr="000C7FF8" w:rsidRDefault="000C7FF8" w:rsidP="000C7FF8">
      <w:pPr>
        <w:pStyle w:val="ListParagraph"/>
        <w:numPr>
          <w:ilvl w:val="0"/>
          <w:numId w:val="7"/>
        </w:numPr>
        <w:rPr>
          <w:rFonts w:ascii="Book Antiqua" w:hAnsi="Book Antiqua" w:cs="PalatinoLinotype"/>
        </w:rPr>
      </w:pPr>
      <w:r w:rsidRPr="000C7FF8">
        <w:rPr>
          <w:rFonts w:ascii="Book Antiqua" w:hAnsi="Book Antiqua" w:cs="PalatinoLinotype"/>
        </w:rPr>
        <w:t>Zakona o izvršenju i obezbeđenju ("Sl. glasnik RS", br. 106/2015)</w:t>
      </w:r>
    </w:p>
    <w:p w:rsidR="000C7FF8" w:rsidRPr="000C7FF8" w:rsidRDefault="000C7FF8" w:rsidP="000C7FF8">
      <w:pPr>
        <w:pStyle w:val="ListParagraph"/>
        <w:numPr>
          <w:ilvl w:val="0"/>
          <w:numId w:val="7"/>
        </w:numPr>
        <w:rPr>
          <w:rFonts w:ascii="Book Antiqua" w:hAnsi="Book Antiqua" w:cs="PalatinoLinotype"/>
        </w:rPr>
      </w:pPr>
      <w:r w:rsidRPr="000C7FF8">
        <w:rPr>
          <w:rFonts w:ascii="Book Antiqua" w:hAnsi="Book Antiqua" w:cs="PalatinoLinotype"/>
        </w:rPr>
        <w:t>Zakon o prekršajima ("Sl. glasnik RS", br. 65/2013 i 13/2016)</w:t>
      </w:r>
    </w:p>
    <w:p w:rsidR="000C7FF8" w:rsidRPr="000C7FF8" w:rsidRDefault="000C7FF8" w:rsidP="000C7FF8">
      <w:pPr>
        <w:pStyle w:val="ListParagraph"/>
        <w:numPr>
          <w:ilvl w:val="0"/>
          <w:numId w:val="7"/>
        </w:numPr>
        <w:rPr>
          <w:rFonts w:ascii="Book Antiqua" w:hAnsi="Book Antiqua" w:cs="PalatinoLinotype"/>
        </w:rPr>
      </w:pPr>
      <w:r w:rsidRPr="000C7FF8">
        <w:rPr>
          <w:rFonts w:ascii="Book Antiqua" w:hAnsi="Book Antiqua" w:cs="PalatinoLinotype"/>
        </w:rPr>
        <w:t>Zakon o javnom redu i miru ("Sl. glasnik RS", br. 6/2016)</w:t>
      </w:r>
    </w:p>
    <w:p w:rsidR="000C7FF8" w:rsidRPr="000C7FF8" w:rsidRDefault="000C7FF8" w:rsidP="000C7FF8">
      <w:pPr>
        <w:pStyle w:val="ListParagraph"/>
        <w:numPr>
          <w:ilvl w:val="0"/>
          <w:numId w:val="7"/>
        </w:numPr>
        <w:rPr>
          <w:rFonts w:ascii="Book Antiqua" w:hAnsi="Book Antiqua" w:cs="PalatinoLinotype"/>
        </w:rPr>
      </w:pPr>
      <w:r w:rsidRPr="000C7FF8">
        <w:rPr>
          <w:rFonts w:ascii="Book Antiqua" w:hAnsi="Book Antiqua" w:cs="PalatinoLinotype"/>
        </w:rPr>
        <w:t xml:space="preserve">Opšti protokol za zaštitu dece </w:t>
      </w:r>
      <w:proofErr w:type="gramStart"/>
      <w:r w:rsidRPr="000C7FF8">
        <w:rPr>
          <w:rFonts w:ascii="Book Antiqua" w:hAnsi="Book Antiqua" w:cs="PalatinoLinotype"/>
        </w:rPr>
        <w:t>od</w:t>
      </w:r>
      <w:proofErr w:type="gramEnd"/>
      <w:r w:rsidRPr="000C7FF8">
        <w:rPr>
          <w:rFonts w:ascii="Book Antiqua" w:hAnsi="Book Antiqua" w:cs="PalatinoLinotype"/>
        </w:rPr>
        <w:t xml:space="preserve"> zlostavljanja i zanemarivanja, Zaključak Vlade Republike Srbije 05 broj: 011-5196/2005 od 25. </w:t>
      </w:r>
      <w:proofErr w:type="gramStart"/>
      <w:r w:rsidRPr="000C7FF8">
        <w:rPr>
          <w:rFonts w:ascii="Book Antiqua" w:hAnsi="Book Antiqua" w:cs="PalatinoLinotype"/>
        </w:rPr>
        <w:t>avgusta</w:t>
      </w:r>
      <w:proofErr w:type="gramEnd"/>
      <w:r w:rsidRPr="000C7FF8">
        <w:rPr>
          <w:rFonts w:ascii="Book Antiqua" w:hAnsi="Book Antiqua" w:cs="PalatinoLinotype"/>
        </w:rPr>
        <w:t xml:space="preserve"> 2005. Godine</w:t>
      </w:r>
    </w:p>
    <w:p w:rsidR="000C7FF8" w:rsidRPr="000C7FF8" w:rsidRDefault="000C7FF8" w:rsidP="000C7FF8">
      <w:pPr>
        <w:pStyle w:val="ListParagraph"/>
        <w:numPr>
          <w:ilvl w:val="0"/>
          <w:numId w:val="7"/>
        </w:numPr>
        <w:rPr>
          <w:rFonts w:ascii="Book Antiqua" w:hAnsi="Book Antiqua" w:cs="PalatinoLinotype"/>
        </w:rPr>
      </w:pPr>
      <w:r w:rsidRPr="000C7FF8">
        <w:rPr>
          <w:rFonts w:ascii="Book Antiqua" w:hAnsi="Book Antiqua" w:cs="PalatinoLinotype"/>
        </w:rPr>
        <w:t>Nacionalni plan akcije za decu, Savet za prava deteta Vlade Republike Srbije Beograd, 2004</w:t>
      </w:r>
    </w:p>
    <w:p w:rsidR="000C7FF8" w:rsidRPr="000C7FF8" w:rsidRDefault="000C7FF8" w:rsidP="000C7FF8">
      <w:pPr>
        <w:pStyle w:val="ListParagraph"/>
        <w:numPr>
          <w:ilvl w:val="0"/>
          <w:numId w:val="7"/>
        </w:numPr>
        <w:rPr>
          <w:rFonts w:ascii="Book Antiqua" w:hAnsi="Book Antiqua" w:cs="PalatinoLinotype"/>
        </w:rPr>
      </w:pPr>
      <w:r w:rsidRPr="000C7FF8">
        <w:rPr>
          <w:rFonts w:ascii="Book Antiqua" w:hAnsi="Book Antiqua" w:cs="PalatinoLinotype"/>
        </w:rPr>
        <w:t xml:space="preserve">Pravilnik o protokolu postupanja u ustanovi u odgovoru na nasilje, zlostavljanje i zanemarivanje ("Sl. glasnik RS", br. 30/2010) </w:t>
      </w:r>
    </w:p>
    <w:p w:rsidR="000C7FF8" w:rsidRPr="000C7FF8" w:rsidRDefault="000C7FF8" w:rsidP="000C7FF8">
      <w:pPr>
        <w:pStyle w:val="ListParagraph"/>
        <w:numPr>
          <w:ilvl w:val="0"/>
          <w:numId w:val="7"/>
        </w:numPr>
        <w:rPr>
          <w:rFonts w:ascii="Book Antiqua" w:hAnsi="Book Antiqua" w:cs="PalatinoLinotype"/>
        </w:rPr>
      </w:pPr>
      <w:r w:rsidRPr="000C7FF8">
        <w:rPr>
          <w:rFonts w:ascii="Book Antiqua" w:hAnsi="Book Antiqua" w:cs="PalatinoLinotype"/>
        </w:rPr>
        <w:t>Posebni protokol sistema zdravstvene zaštite za zaštitu dece od zlostavljanja i zanemarivanja, Ministarstvo zdravlja Republike Srbije, Beograd, 2009</w:t>
      </w:r>
    </w:p>
    <w:p w:rsidR="000C7FF8" w:rsidRPr="000C7FF8" w:rsidRDefault="000C7FF8" w:rsidP="000C7FF8">
      <w:pPr>
        <w:pStyle w:val="ListParagraph"/>
        <w:numPr>
          <w:ilvl w:val="0"/>
          <w:numId w:val="7"/>
        </w:numPr>
        <w:rPr>
          <w:rFonts w:ascii="Book Antiqua" w:hAnsi="Book Antiqua" w:cs="PalatinoLinotype"/>
        </w:rPr>
      </w:pPr>
      <w:r w:rsidRPr="000C7FF8">
        <w:rPr>
          <w:rFonts w:ascii="Book Antiqua" w:hAnsi="Book Antiqua" w:cs="PalatinoLinotype"/>
        </w:rPr>
        <w:t>Posebni protokol o postupanju pravosudnih organa u zaštiti maloletnih lica od zlostavljanja i zanemarivanja, Ministarstvo pravde Republike Srbije, Beograd, 2009</w:t>
      </w:r>
    </w:p>
    <w:p w:rsidR="000C7FF8" w:rsidRPr="000C7FF8" w:rsidRDefault="000C7FF8" w:rsidP="000C7FF8">
      <w:pPr>
        <w:pStyle w:val="ListParagraph"/>
        <w:numPr>
          <w:ilvl w:val="0"/>
          <w:numId w:val="7"/>
        </w:numPr>
        <w:rPr>
          <w:rFonts w:ascii="Book Antiqua" w:hAnsi="Book Antiqua" w:cs="PalatinoLinotype"/>
        </w:rPr>
      </w:pPr>
      <w:r w:rsidRPr="000C7FF8">
        <w:rPr>
          <w:rFonts w:ascii="Book Antiqua" w:hAnsi="Book Antiqua" w:cs="PalatinoLinotype"/>
        </w:rPr>
        <w:t>Posebni protokol za zaštitu dece od zlostavljanja i zanemarivanja u ustanovama socijalne zaštite, Ministarstvo rada, zapošljavanja i socijalne politike Republike Srbije, Beograd, 2006</w:t>
      </w:r>
    </w:p>
    <w:p w:rsidR="000C7FF8" w:rsidRPr="000C7FF8" w:rsidRDefault="000C7FF8" w:rsidP="000C7FF8">
      <w:pPr>
        <w:pStyle w:val="ListParagraph"/>
        <w:numPr>
          <w:ilvl w:val="0"/>
          <w:numId w:val="7"/>
        </w:numPr>
        <w:rPr>
          <w:rFonts w:ascii="Book Antiqua" w:hAnsi="Book Antiqua" w:cs="PalatinoLinotype"/>
        </w:rPr>
      </w:pPr>
      <w:r w:rsidRPr="000C7FF8">
        <w:rPr>
          <w:rFonts w:ascii="Book Antiqua" w:hAnsi="Book Antiqua" w:cs="PalatinoLinotype"/>
        </w:rPr>
        <w:t>Posebni protokol o postupanju policijskih službenika u zaštiti maloletnih lica od zlostavljanja i zanemarivanja, Ministartvo unutrašnjih poslova Republike Srbije, Beograd 2007</w:t>
      </w:r>
    </w:p>
    <w:p w:rsidR="000C7FF8" w:rsidRPr="000C7FF8" w:rsidRDefault="000C7FF8" w:rsidP="000C7FF8">
      <w:pPr>
        <w:pStyle w:val="ListParagraph"/>
        <w:numPr>
          <w:ilvl w:val="0"/>
          <w:numId w:val="7"/>
        </w:numPr>
        <w:rPr>
          <w:rFonts w:ascii="Book Antiqua" w:hAnsi="Book Antiqua" w:cs="PalatinoLinotype"/>
        </w:rPr>
      </w:pPr>
      <w:r w:rsidRPr="000C7FF8">
        <w:rPr>
          <w:rFonts w:ascii="Book Antiqua" w:hAnsi="Book Antiqua" w:cs="PalatinoLinotype"/>
        </w:rPr>
        <w:t>Posebni protokol sistema zdravstvene zaštite za zaštitu dece od zlostavljanja i zanemarivanja, Ministarstvo zdravlja Republike Srbije, Beograd, 2009</w:t>
      </w:r>
    </w:p>
    <w:p w:rsidR="000C7FF8" w:rsidRPr="000C7FF8" w:rsidRDefault="000C7FF8" w:rsidP="000C7FF8">
      <w:pPr>
        <w:pStyle w:val="ListParagraph"/>
        <w:numPr>
          <w:ilvl w:val="0"/>
          <w:numId w:val="7"/>
        </w:numPr>
        <w:rPr>
          <w:rFonts w:ascii="Book Antiqua" w:hAnsi="Book Antiqua" w:cs="PalatinoLinotype"/>
        </w:rPr>
      </w:pPr>
      <w:r w:rsidRPr="000C7FF8">
        <w:rPr>
          <w:rFonts w:ascii="Book Antiqua" w:hAnsi="Book Antiqua" w:cs="PalatinoLinotype"/>
        </w:rPr>
        <w:t xml:space="preserve">Akcioni plan za poglavlje 23, Pregovaračka grupa za poglavlje 23, septembar 2015, </w:t>
      </w:r>
      <w:hyperlink r:id="rId15" w:history="1">
        <w:r w:rsidRPr="000C7FF8">
          <w:rPr>
            <w:rFonts w:ascii="Book Antiqua" w:hAnsi="Book Antiqua" w:cs="PalatinoLinotype"/>
          </w:rPr>
          <w:t>http://www.mpravde.gov.rs/files/Akcioni%20plan%20PG%2023%20Treci%20nacrt-%20Konacna%20verzija1.pdf</w:t>
        </w:r>
      </w:hyperlink>
    </w:p>
    <w:p w:rsidR="000C7FF8" w:rsidRPr="000C7FF8" w:rsidRDefault="000C7FF8" w:rsidP="000C7FF8">
      <w:pPr>
        <w:pStyle w:val="ListParagraph"/>
        <w:numPr>
          <w:ilvl w:val="0"/>
          <w:numId w:val="7"/>
        </w:numPr>
        <w:rPr>
          <w:rFonts w:ascii="Book Antiqua" w:hAnsi="Book Antiqua" w:cs="PalatinoLinotype"/>
        </w:rPr>
      </w:pPr>
      <w:r w:rsidRPr="000C7FF8">
        <w:rPr>
          <w:rFonts w:ascii="Book Antiqua" w:hAnsi="Book Antiqua" w:cs="PalatinoLinotype"/>
        </w:rPr>
        <w:t xml:space="preserve">CRC/C/SRB/2-3 Committee on the Rights of the Child, </w:t>
      </w:r>
      <w:hyperlink r:id="rId16" w:history="1">
        <w:r w:rsidRPr="000C7FF8">
          <w:rPr>
            <w:rFonts w:ascii="Book Antiqua" w:hAnsi="Book Antiqua" w:cs="PalatinoLinotype"/>
          </w:rPr>
          <w:t>http://tbinternet.ohchr.org/_layouts/treatybodyexternal/Download.aspx?symbolno=CRC%2FC%2FSRB%2F2-3&amp;Lang=en</w:t>
        </w:r>
      </w:hyperlink>
    </w:p>
    <w:p w:rsidR="000C7FF8" w:rsidRPr="000C7FF8" w:rsidRDefault="000C7FF8" w:rsidP="000C7FF8">
      <w:pPr>
        <w:pStyle w:val="ListParagraph"/>
        <w:numPr>
          <w:ilvl w:val="0"/>
          <w:numId w:val="7"/>
        </w:numPr>
        <w:rPr>
          <w:rFonts w:ascii="Book Antiqua" w:hAnsi="Book Antiqua" w:cs="PalatinoLinotype"/>
        </w:rPr>
      </w:pPr>
      <w:r w:rsidRPr="000C7FF8">
        <w:rPr>
          <w:rFonts w:ascii="Book Antiqua" w:hAnsi="Book Antiqua" w:cs="PalatinoLinotype"/>
        </w:rPr>
        <w:t>Preporuka Komiteta ministara Saveta Evrope o socijalnim merama iz 1990</w:t>
      </w:r>
    </w:p>
    <w:p w:rsidR="000C7FF8" w:rsidRPr="000C7FF8" w:rsidRDefault="000C7FF8" w:rsidP="000C7FF8">
      <w:pPr>
        <w:pStyle w:val="ListParagraph"/>
        <w:numPr>
          <w:ilvl w:val="0"/>
          <w:numId w:val="7"/>
        </w:numPr>
        <w:rPr>
          <w:rFonts w:ascii="Book Antiqua" w:hAnsi="Book Antiqua" w:cs="PalatinoLinotype"/>
        </w:rPr>
      </w:pPr>
      <w:r w:rsidRPr="000C7FF8">
        <w:rPr>
          <w:rFonts w:ascii="Book Antiqua" w:hAnsi="Book Antiqua" w:cs="PalatinoLinotype"/>
        </w:rPr>
        <w:t>Preporuka Komiteta ministara Saveta Evrope o zaštiti žena od nasilja iz 2002</w:t>
      </w:r>
    </w:p>
    <w:p w:rsidR="000C7FF8" w:rsidRPr="000C7FF8" w:rsidRDefault="000C7FF8" w:rsidP="000C7FF8">
      <w:pPr>
        <w:pStyle w:val="ListParagraph"/>
        <w:numPr>
          <w:ilvl w:val="0"/>
          <w:numId w:val="7"/>
        </w:numPr>
        <w:rPr>
          <w:rFonts w:ascii="Book Antiqua" w:hAnsi="Book Antiqua" w:cs="PalatinoLinotype"/>
        </w:rPr>
      </w:pPr>
      <w:r w:rsidRPr="000C7FF8">
        <w:rPr>
          <w:rFonts w:ascii="Book Antiqua" w:hAnsi="Book Antiqua" w:cs="PalatinoLinotype"/>
        </w:rPr>
        <w:t xml:space="preserve">Preporuka Zaštitnika građana Republike Srbije 14/2445/11, del.br. 5916, 14. </w:t>
      </w:r>
      <w:proofErr w:type="gramStart"/>
      <w:r w:rsidRPr="000C7FF8">
        <w:rPr>
          <w:rFonts w:ascii="Book Antiqua" w:hAnsi="Book Antiqua" w:cs="PalatinoLinotype"/>
        </w:rPr>
        <w:t>mart</w:t>
      </w:r>
      <w:proofErr w:type="gramEnd"/>
      <w:r w:rsidRPr="000C7FF8">
        <w:rPr>
          <w:rFonts w:ascii="Book Antiqua" w:hAnsi="Book Antiqua" w:cs="PalatinoLinotype"/>
        </w:rPr>
        <w:t xml:space="preserve"> 2012. godine</w:t>
      </w:r>
    </w:p>
    <w:p w:rsidR="000C7FF8" w:rsidRDefault="000C7FF8" w:rsidP="000C7FF8">
      <w:pPr>
        <w:pStyle w:val="ListParagraph"/>
        <w:numPr>
          <w:ilvl w:val="0"/>
          <w:numId w:val="7"/>
        </w:numPr>
        <w:rPr>
          <w:rFonts w:ascii="Book Antiqua" w:hAnsi="Book Antiqua" w:cs="PalatinoLinotype"/>
        </w:rPr>
      </w:pPr>
      <w:r w:rsidRPr="000C7FF8">
        <w:rPr>
          <w:rFonts w:ascii="Book Antiqua" w:hAnsi="Book Antiqua" w:cs="PalatinoLinotype"/>
        </w:rPr>
        <w:t xml:space="preserve">Postupanje institucija u slučajevima nasilja u porodici, Istraživanje Pokrajinskog zaštitnika građana AP Vojvodina,  </w:t>
      </w:r>
      <w:hyperlink r:id="rId17" w:history="1">
        <w:r w:rsidRPr="000C7FF8">
          <w:rPr>
            <w:rFonts w:ascii="Book Antiqua" w:hAnsi="Book Antiqua" w:cs="PalatinoLinotype"/>
          </w:rPr>
          <w:t>http://www.ombudsmanapv.org/riv/attachments/article/1850/Istrazivanje-2016-Nasilje%20u%20porodici%20i%20institucije.pdf</w:t>
        </w:r>
      </w:hyperlink>
    </w:p>
    <w:p w:rsidR="006F4F0E" w:rsidRDefault="006F4F0E" w:rsidP="000C7FF8">
      <w:pPr>
        <w:pStyle w:val="ListParagraph"/>
        <w:numPr>
          <w:ilvl w:val="0"/>
          <w:numId w:val="7"/>
        </w:numPr>
        <w:rPr>
          <w:rFonts w:ascii="Book Antiqua" w:hAnsi="Book Antiqua" w:cs="PalatinoLinotype"/>
        </w:rPr>
      </w:pPr>
      <w:r w:rsidRPr="006F4F0E">
        <w:rPr>
          <w:rFonts w:ascii="Book Antiqua" w:hAnsi="Book Antiqua" w:cs="PalatinoLinotype"/>
        </w:rPr>
        <w:t xml:space="preserve">Republički zavod za socijalnu zaštitu, </w:t>
      </w:r>
      <w:r w:rsidRPr="006F4F0E">
        <w:rPr>
          <w:rFonts w:ascii="Book Antiqua" w:hAnsi="Book Antiqua" w:cs="PalatinoLinotype"/>
          <w:i/>
        </w:rPr>
        <w:t>Deca u sistemu socijalne zaštite 2015</w:t>
      </w:r>
      <w:r w:rsidRPr="006F4F0E">
        <w:rPr>
          <w:rFonts w:ascii="Book Antiqua" w:hAnsi="Book Antiqua" w:cs="PalatinoLinotype"/>
        </w:rPr>
        <w:t xml:space="preserve">, Beograd, jul 2016, </w:t>
      </w:r>
      <w:hyperlink r:id="rId18" w:history="1">
        <w:r w:rsidRPr="006F4F0E">
          <w:rPr>
            <w:rFonts w:ascii="Book Antiqua" w:hAnsi="Book Antiqua" w:cs="PalatinoLinotype"/>
          </w:rPr>
          <w:t>http://www.zavodsz.gov.rs/PDF/izvestaj2016/deca%20u%20sistemu%20socijalne%20zastite%202015.pdf</w:t>
        </w:r>
      </w:hyperlink>
    </w:p>
    <w:p w:rsidR="004F032F" w:rsidRPr="004F032F" w:rsidRDefault="004F032F" w:rsidP="000C7FF8">
      <w:pPr>
        <w:pStyle w:val="ListParagraph"/>
        <w:numPr>
          <w:ilvl w:val="0"/>
          <w:numId w:val="7"/>
        </w:numPr>
        <w:rPr>
          <w:rFonts w:ascii="Book Antiqua" w:hAnsi="Book Antiqua" w:cs="PalatinoLinotype"/>
        </w:rPr>
      </w:pPr>
      <w:r w:rsidRPr="004F032F">
        <w:rPr>
          <w:rFonts w:ascii="Book Antiqua" w:hAnsi="Book Antiqua" w:cs="PalatinoLinotype"/>
        </w:rPr>
        <w:t>Kako do pravosuđa po meri deteta - Zaštita dece žrtava u krivičnim postupcima i stanje u praksi u Republici Srbiji, Centar za prava deteta, 2015</w:t>
      </w:r>
    </w:p>
    <w:p w:rsidR="004F032F" w:rsidRDefault="004F032F" w:rsidP="000C7FF8">
      <w:pPr>
        <w:pStyle w:val="ListParagraph"/>
        <w:numPr>
          <w:ilvl w:val="0"/>
          <w:numId w:val="7"/>
        </w:numPr>
        <w:rPr>
          <w:rFonts w:ascii="Book Antiqua" w:hAnsi="Book Antiqua" w:cs="PalatinoLinotype"/>
        </w:rPr>
      </w:pPr>
      <w:r w:rsidRPr="004F032F">
        <w:rPr>
          <w:rFonts w:ascii="Book Antiqua" w:hAnsi="Book Antiqua" w:cs="PalatinoLinotype"/>
        </w:rPr>
        <w:t>Kako do pravosuđa po meri deteta - Položaj deteta u građanskim sudskim postupcima u Republici Srbiji - poštovanje i ostvarivanje prava na participaciju i najbolje interese deteta u sudskim postupcima, Centar za prava deteta, Beograd, 2015</w:t>
      </w:r>
    </w:p>
    <w:p w:rsidR="003D332E" w:rsidRDefault="003D332E" w:rsidP="000C7FF8">
      <w:pPr>
        <w:pStyle w:val="ListParagraph"/>
        <w:numPr>
          <w:ilvl w:val="0"/>
          <w:numId w:val="7"/>
        </w:numPr>
        <w:rPr>
          <w:rFonts w:ascii="Book Antiqua" w:hAnsi="Book Antiqua" w:cs="PalatinoLinotype"/>
        </w:rPr>
      </w:pPr>
      <w:r w:rsidRPr="003D332E">
        <w:rPr>
          <w:rFonts w:ascii="Book Antiqua" w:hAnsi="Book Antiqua" w:cs="PalatinoLinotype"/>
        </w:rPr>
        <w:t>Bilten Apelacionog suda u Beogradu, br 8/2016, ISSN 2217-3609</w:t>
      </w:r>
    </w:p>
    <w:p w:rsidR="0014310B" w:rsidRDefault="0014310B" w:rsidP="000C7FF8">
      <w:pPr>
        <w:pStyle w:val="ListParagraph"/>
        <w:numPr>
          <w:ilvl w:val="0"/>
          <w:numId w:val="7"/>
        </w:numPr>
        <w:rPr>
          <w:rFonts w:ascii="Book Antiqua" w:hAnsi="Book Antiqua" w:cs="PalatinoLinotype"/>
        </w:rPr>
      </w:pPr>
      <w:r w:rsidRPr="0014310B">
        <w:rPr>
          <w:rFonts w:ascii="Book Antiqua" w:hAnsi="Book Antiqua" w:cs="PalatinoLinotype"/>
        </w:rPr>
        <w:t>Bilten Apelacionog suda u Beogradu, 7/2015, ISSN 2217-3609</w:t>
      </w:r>
    </w:p>
    <w:p w:rsidR="000C7FF8" w:rsidRPr="000C7FF8" w:rsidRDefault="000C7FF8" w:rsidP="000C7FF8">
      <w:pPr>
        <w:pStyle w:val="ListParagraph"/>
        <w:numPr>
          <w:ilvl w:val="0"/>
          <w:numId w:val="7"/>
        </w:numPr>
        <w:rPr>
          <w:rFonts w:ascii="Book Antiqua" w:hAnsi="Book Antiqua" w:cs="PalatinoLinotype"/>
        </w:rPr>
      </w:pPr>
      <w:r w:rsidRPr="000C7FF8">
        <w:rPr>
          <w:rFonts w:ascii="Book Antiqua" w:hAnsi="Book Antiqua" w:cs="PalatinoLinotype"/>
        </w:rPr>
        <w:t xml:space="preserve">Presuda Evropskog suda za ljudska prava u slučaju V.A.M. protiv Srbije, predstavka broj 39177/05, presuda od 13.03.2007.godine </w:t>
      </w:r>
    </w:p>
    <w:p w:rsidR="000C7FF8" w:rsidRDefault="000C7FF8" w:rsidP="000C7FF8">
      <w:pPr>
        <w:pStyle w:val="ListParagraph"/>
        <w:numPr>
          <w:ilvl w:val="0"/>
          <w:numId w:val="7"/>
        </w:numPr>
        <w:rPr>
          <w:rFonts w:ascii="Book Antiqua" w:hAnsi="Book Antiqua" w:cs="PalatinoLinotype"/>
        </w:rPr>
      </w:pPr>
      <w:r w:rsidRPr="000C7FF8">
        <w:rPr>
          <w:rFonts w:ascii="Book Antiqua" w:hAnsi="Book Antiqua" w:cs="PalatinoLinotype"/>
        </w:rPr>
        <w:t>Presuda Evropskog suda za ljudska prava, 55759/07, Predmet: Maresti protiv Hrvatske, 25.6.2009. godine</w:t>
      </w:r>
    </w:p>
    <w:p w:rsidR="003277C7" w:rsidRPr="003277C7" w:rsidRDefault="00BC0EDE" w:rsidP="003277C7">
      <w:pPr>
        <w:pStyle w:val="ListParagraph"/>
        <w:numPr>
          <w:ilvl w:val="0"/>
          <w:numId w:val="7"/>
        </w:numPr>
        <w:rPr>
          <w:rFonts w:ascii="Book Antiqua" w:hAnsi="Book Antiqua" w:cs="PalatinoLinotype"/>
        </w:rPr>
      </w:pPr>
      <w:r w:rsidRPr="00BC0EDE">
        <w:rPr>
          <w:rFonts w:ascii="Book Antiqua" w:hAnsi="Book Antiqua" w:cs="PalatinoLinotype"/>
        </w:rPr>
        <w:t>Presuda Vrhovnog kasacionog suda, Rev 289/2016, od 16.03.2016.godine</w:t>
      </w:r>
    </w:p>
    <w:p w:rsidR="00263BFF" w:rsidRDefault="00263BFF" w:rsidP="000C7FF8">
      <w:pPr>
        <w:pStyle w:val="ListParagraph"/>
        <w:numPr>
          <w:ilvl w:val="0"/>
          <w:numId w:val="7"/>
        </w:numPr>
        <w:rPr>
          <w:rFonts w:ascii="Book Antiqua" w:hAnsi="Book Antiqua" w:cs="PalatinoLinotype"/>
        </w:rPr>
      </w:pPr>
      <w:r w:rsidRPr="00263BFF">
        <w:rPr>
          <w:rFonts w:ascii="Book Antiqua" w:hAnsi="Book Antiqua" w:cs="PalatinoLinotype"/>
        </w:rPr>
        <w:t>Presuda Vrhovnog kasacionog suda, Rev 1884/2015, od 10.12.2016.godine</w:t>
      </w:r>
    </w:p>
    <w:p w:rsidR="003277C7" w:rsidRDefault="003277C7" w:rsidP="000C7FF8">
      <w:pPr>
        <w:pStyle w:val="ListParagraph"/>
        <w:numPr>
          <w:ilvl w:val="0"/>
          <w:numId w:val="7"/>
        </w:numPr>
        <w:rPr>
          <w:rFonts w:ascii="Book Antiqua" w:hAnsi="Book Antiqua" w:cs="PalatinoLinotype"/>
        </w:rPr>
      </w:pPr>
      <w:r w:rsidRPr="003277C7">
        <w:rPr>
          <w:rFonts w:ascii="Book Antiqua" w:hAnsi="Book Antiqua" w:cs="PalatinoLinotype"/>
        </w:rPr>
        <w:t>Presuda Vrhovnog kasacionog suda, Rev 2114/2015, od 02.12.2015.godine</w:t>
      </w:r>
    </w:p>
    <w:p w:rsidR="004D6174" w:rsidRDefault="004D6174" w:rsidP="000C7FF8">
      <w:pPr>
        <w:pStyle w:val="ListParagraph"/>
        <w:numPr>
          <w:ilvl w:val="0"/>
          <w:numId w:val="7"/>
        </w:numPr>
        <w:rPr>
          <w:rFonts w:ascii="Book Antiqua" w:hAnsi="Book Antiqua" w:cs="PalatinoLinotype"/>
        </w:rPr>
      </w:pPr>
      <w:r w:rsidRPr="004D6174">
        <w:rPr>
          <w:rFonts w:ascii="Book Antiqua" w:hAnsi="Book Antiqua" w:cs="PalatinoLinotype"/>
        </w:rPr>
        <w:t>Presuda Vrhovnog kasacionog suda, Rev 2241/2015, od 16.12.2015.godine</w:t>
      </w:r>
    </w:p>
    <w:p w:rsidR="006E1247" w:rsidRDefault="006E1247" w:rsidP="000C7FF8">
      <w:pPr>
        <w:pStyle w:val="ListParagraph"/>
        <w:numPr>
          <w:ilvl w:val="0"/>
          <w:numId w:val="7"/>
        </w:numPr>
        <w:rPr>
          <w:rFonts w:ascii="Book Antiqua" w:hAnsi="Book Antiqua" w:cs="PalatinoLinotype"/>
        </w:rPr>
      </w:pPr>
      <w:r w:rsidRPr="006E1247">
        <w:rPr>
          <w:rFonts w:ascii="Book Antiqua" w:hAnsi="Book Antiqua" w:cs="PalatinoLinotype"/>
        </w:rPr>
        <w:t>Presuda Vrhovnog kasacionog suda, Rev 2345/2015, od 15.12.2015..godine</w:t>
      </w:r>
    </w:p>
    <w:p w:rsidR="00E60125" w:rsidRDefault="00E60125" w:rsidP="000C7FF8">
      <w:pPr>
        <w:pStyle w:val="ListParagraph"/>
        <w:numPr>
          <w:ilvl w:val="0"/>
          <w:numId w:val="7"/>
        </w:numPr>
        <w:rPr>
          <w:rFonts w:ascii="Book Antiqua" w:hAnsi="Book Antiqua" w:cs="PalatinoLinotype"/>
        </w:rPr>
      </w:pPr>
      <w:r w:rsidRPr="00E60125">
        <w:rPr>
          <w:rFonts w:ascii="Book Antiqua" w:hAnsi="Book Antiqua" w:cs="PalatinoLinotype"/>
        </w:rPr>
        <w:t>Presuda Vrhovnog kasacionog suda, Kzz 17/2016, od 26.01.2016.godine</w:t>
      </w:r>
    </w:p>
    <w:p w:rsidR="00113013" w:rsidRDefault="00113013" w:rsidP="000C7FF8">
      <w:pPr>
        <w:pStyle w:val="ListParagraph"/>
        <w:numPr>
          <w:ilvl w:val="0"/>
          <w:numId w:val="7"/>
        </w:numPr>
        <w:rPr>
          <w:rFonts w:ascii="Book Antiqua" w:hAnsi="Book Antiqua" w:cs="PalatinoLinotype"/>
        </w:rPr>
      </w:pPr>
      <w:r w:rsidRPr="000F378A">
        <w:rPr>
          <w:rFonts w:ascii="Book Antiqua" w:hAnsi="Book Antiqua" w:cs="PalatinoLinotype"/>
        </w:rPr>
        <w:t>Rešenje Vrhovnog kasacionog suda, Rev 2190/2015, od 10.12.2015.godine</w:t>
      </w:r>
    </w:p>
    <w:p w:rsidR="00A44B25" w:rsidRPr="000C7FF8" w:rsidRDefault="00A44B25" w:rsidP="00A44B25">
      <w:pPr>
        <w:pStyle w:val="ListParagraph"/>
        <w:numPr>
          <w:ilvl w:val="0"/>
          <w:numId w:val="7"/>
        </w:numPr>
        <w:rPr>
          <w:rFonts w:ascii="Book Antiqua" w:hAnsi="Book Antiqua" w:cs="PalatinoLinotype"/>
        </w:rPr>
      </w:pPr>
      <w:r w:rsidRPr="00A44B25">
        <w:rPr>
          <w:rFonts w:ascii="Book Antiqua" w:hAnsi="Book Antiqua" w:cs="PalatinoLinotype"/>
        </w:rPr>
        <w:t>Sentenca iz presude Vrhovnog kasacionog suda Rev 2857/10, od 09.06.2010.godine, utvrđena na sednici Građanskog odeljenja 13.09.2010.godine</w:t>
      </w:r>
    </w:p>
    <w:p w:rsidR="000C7FF8" w:rsidRPr="000C7FF8" w:rsidRDefault="000C7FF8" w:rsidP="000C7FF8">
      <w:pPr>
        <w:pStyle w:val="ListParagraph"/>
        <w:numPr>
          <w:ilvl w:val="0"/>
          <w:numId w:val="7"/>
        </w:numPr>
        <w:rPr>
          <w:rFonts w:ascii="Book Antiqua" w:hAnsi="Book Antiqua" w:cs="PalatinoLinotype"/>
        </w:rPr>
      </w:pPr>
      <w:r w:rsidRPr="000C7FF8">
        <w:rPr>
          <w:rFonts w:ascii="Book Antiqua" w:hAnsi="Book Antiqua" w:cs="PalatinoLinotype"/>
        </w:rPr>
        <w:t>Odluka Ustavnog suda Republike Srbije, Už 1285/2012, iz 2014. godine</w:t>
      </w:r>
    </w:p>
    <w:p w:rsidR="008703A0" w:rsidRDefault="008703A0" w:rsidP="000C7FF8">
      <w:pPr>
        <w:pStyle w:val="ListParagraph"/>
        <w:numPr>
          <w:ilvl w:val="0"/>
          <w:numId w:val="7"/>
        </w:numPr>
        <w:rPr>
          <w:rFonts w:ascii="Book Antiqua" w:hAnsi="Book Antiqua" w:cs="PalatinoLinotype"/>
        </w:rPr>
      </w:pPr>
      <w:r w:rsidRPr="008703A0">
        <w:rPr>
          <w:rFonts w:ascii="Book Antiqua" w:hAnsi="Book Antiqua" w:cs="PalatinoLinotype"/>
        </w:rPr>
        <w:t>Presuda Apelacionog suda u Beogradu, Gž2 365/2015, od 16.07.2015.godine</w:t>
      </w:r>
    </w:p>
    <w:p w:rsidR="0014310B" w:rsidRDefault="0014310B" w:rsidP="000C7FF8">
      <w:pPr>
        <w:pStyle w:val="ListParagraph"/>
        <w:numPr>
          <w:ilvl w:val="0"/>
          <w:numId w:val="7"/>
        </w:numPr>
        <w:rPr>
          <w:rFonts w:ascii="Book Antiqua" w:hAnsi="Book Antiqua" w:cs="PalatinoLinotype"/>
        </w:rPr>
      </w:pPr>
      <w:r w:rsidRPr="0014310B">
        <w:rPr>
          <w:rFonts w:ascii="Book Antiqua" w:hAnsi="Book Antiqua" w:cs="PalatinoLinotype"/>
        </w:rPr>
        <w:t>Presuda Apelacionog suda u Beogradu, Gž2 422/2014, od 25.07.2014.godine</w:t>
      </w:r>
    </w:p>
    <w:p w:rsidR="000C7FF8" w:rsidRPr="000C7FF8" w:rsidRDefault="000C7FF8" w:rsidP="000C7FF8">
      <w:pPr>
        <w:pStyle w:val="ListParagraph"/>
        <w:numPr>
          <w:ilvl w:val="0"/>
          <w:numId w:val="7"/>
        </w:numPr>
        <w:rPr>
          <w:rFonts w:ascii="Book Antiqua" w:hAnsi="Book Antiqua" w:cs="PalatinoLinotype"/>
        </w:rPr>
      </w:pPr>
      <w:r w:rsidRPr="000C7FF8">
        <w:rPr>
          <w:rFonts w:ascii="Book Antiqua" w:hAnsi="Book Antiqua" w:cs="PalatinoLinotype"/>
        </w:rPr>
        <w:t xml:space="preserve">Presuda Apelacionog suda u Beogradu Gž2.189/12 </w:t>
      </w:r>
    </w:p>
    <w:p w:rsidR="000C7FF8" w:rsidRPr="000C7FF8" w:rsidRDefault="000C7FF8" w:rsidP="000C7FF8">
      <w:pPr>
        <w:pStyle w:val="ListParagraph"/>
        <w:numPr>
          <w:ilvl w:val="0"/>
          <w:numId w:val="7"/>
        </w:numPr>
        <w:rPr>
          <w:rFonts w:ascii="Book Antiqua" w:hAnsi="Book Antiqua" w:cs="PalatinoLinotype"/>
        </w:rPr>
      </w:pPr>
      <w:r w:rsidRPr="000C7FF8">
        <w:rPr>
          <w:rFonts w:ascii="Book Antiqua" w:hAnsi="Book Antiqua" w:cs="PalatinoLinotype"/>
        </w:rPr>
        <w:t xml:space="preserve">Presuda Apelacionog suda u Beogradu Gž2.359/11 </w:t>
      </w:r>
    </w:p>
    <w:p w:rsidR="000C7FF8" w:rsidRPr="000C7FF8" w:rsidRDefault="000C7FF8" w:rsidP="000C7FF8">
      <w:pPr>
        <w:pStyle w:val="ListParagraph"/>
        <w:numPr>
          <w:ilvl w:val="0"/>
          <w:numId w:val="7"/>
        </w:numPr>
        <w:rPr>
          <w:rFonts w:ascii="Book Antiqua" w:hAnsi="Book Antiqua" w:cs="PalatinoLinotype"/>
        </w:rPr>
      </w:pPr>
      <w:r w:rsidRPr="000C7FF8">
        <w:rPr>
          <w:rFonts w:ascii="Book Antiqua" w:hAnsi="Book Antiqua" w:cs="PalatinoLinotype"/>
        </w:rPr>
        <w:t>Presuda Apelacionog suda u Beogradu Gž2.192/10</w:t>
      </w:r>
    </w:p>
    <w:p w:rsidR="000C7FF8" w:rsidRPr="000C7FF8" w:rsidRDefault="000C7FF8" w:rsidP="000C7FF8">
      <w:pPr>
        <w:pStyle w:val="ListParagraph"/>
        <w:numPr>
          <w:ilvl w:val="0"/>
          <w:numId w:val="7"/>
        </w:numPr>
        <w:rPr>
          <w:rFonts w:ascii="Book Antiqua" w:hAnsi="Book Antiqua" w:cs="PalatinoLinotype"/>
        </w:rPr>
      </w:pPr>
      <w:r w:rsidRPr="000C7FF8">
        <w:rPr>
          <w:rFonts w:ascii="Book Antiqua" w:hAnsi="Book Antiqua" w:cs="PalatinoLinotype"/>
        </w:rPr>
        <w:t xml:space="preserve">Presuda Prekršajnog suda u Nišu, 04 Pr.br. 11923/11, </w:t>
      </w:r>
      <w:proofErr w:type="gramStart"/>
      <w:r w:rsidRPr="000C7FF8">
        <w:rPr>
          <w:rFonts w:ascii="Book Antiqua" w:hAnsi="Book Antiqua" w:cs="PalatinoLinotype"/>
        </w:rPr>
        <w:t>od</w:t>
      </w:r>
      <w:proofErr w:type="gramEnd"/>
      <w:r w:rsidRPr="000C7FF8">
        <w:rPr>
          <w:rFonts w:ascii="Book Antiqua" w:hAnsi="Book Antiqua" w:cs="PalatinoLinotype"/>
        </w:rPr>
        <w:t xml:space="preserve"> 18.06.2012. godine</w:t>
      </w:r>
    </w:p>
    <w:p w:rsidR="006E1247" w:rsidRPr="006E1247" w:rsidRDefault="000C7FF8" w:rsidP="006E1247">
      <w:pPr>
        <w:pStyle w:val="ListParagraph"/>
        <w:numPr>
          <w:ilvl w:val="0"/>
          <w:numId w:val="7"/>
        </w:numPr>
        <w:rPr>
          <w:rFonts w:ascii="Book Antiqua" w:hAnsi="Book Antiqua" w:cs="PalatinoLinotype"/>
        </w:rPr>
      </w:pPr>
      <w:r w:rsidRPr="000C7FF8">
        <w:rPr>
          <w:rFonts w:ascii="Book Antiqua" w:hAnsi="Book Antiqua" w:cs="PalatinoLinotype"/>
        </w:rPr>
        <w:t>Presuda IV opštinskog suda u Beogradu, posl.br.VIII P.br.3249/06</w:t>
      </w:r>
    </w:p>
    <w:p w:rsidR="000C7FF8" w:rsidRPr="000C7FF8" w:rsidRDefault="000C7FF8" w:rsidP="000C7FF8">
      <w:pPr>
        <w:rPr>
          <w:rFonts w:ascii="Book Antiqua" w:hAnsi="Book Antiqua" w:cs="PalatinoLinotype"/>
        </w:rPr>
      </w:pPr>
    </w:p>
    <w:sectPr w:rsidR="000C7FF8" w:rsidRPr="000C7FF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345" w:rsidRDefault="005A4345" w:rsidP="0016368E">
      <w:pPr>
        <w:spacing w:after="0" w:line="240" w:lineRule="auto"/>
      </w:pPr>
      <w:r>
        <w:separator/>
      </w:r>
    </w:p>
  </w:endnote>
  <w:endnote w:type="continuationSeparator" w:id="0">
    <w:p w:rsidR="005A4345" w:rsidRDefault="005A4345" w:rsidP="00163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Linotype">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345" w:rsidRDefault="005A4345" w:rsidP="0016368E">
      <w:pPr>
        <w:spacing w:after="0" w:line="240" w:lineRule="auto"/>
      </w:pPr>
      <w:r>
        <w:separator/>
      </w:r>
    </w:p>
  </w:footnote>
  <w:footnote w:type="continuationSeparator" w:id="0">
    <w:p w:rsidR="005A4345" w:rsidRDefault="005A4345" w:rsidP="0016368E">
      <w:pPr>
        <w:spacing w:after="0" w:line="240" w:lineRule="auto"/>
      </w:pPr>
      <w:r>
        <w:continuationSeparator/>
      </w:r>
    </w:p>
  </w:footnote>
  <w:footnote w:id="1">
    <w:p w:rsidR="0016368E" w:rsidRPr="0016368E" w:rsidRDefault="0016368E" w:rsidP="007C327E">
      <w:pPr>
        <w:pStyle w:val="FootnoteText"/>
        <w:jc w:val="both"/>
        <w:rPr>
          <w:lang w:val="sr-Latn-RS"/>
        </w:rPr>
      </w:pPr>
      <w:r>
        <w:rPr>
          <w:rStyle w:val="FootnoteReference"/>
        </w:rPr>
        <w:footnoteRef/>
      </w:r>
      <w:r>
        <w:t xml:space="preserve"> </w:t>
      </w:r>
      <w:r w:rsidRPr="003376EB">
        <w:rPr>
          <w:rFonts w:ascii="Book Antiqua" w:hAnsi="Book Antiqua"/>
          <w:sz w:val="18"/>
          <w:szCs w:val="18"/>
          <w:lang w:val="sr-Latn-RS"/>
        </w:rPr>
        <w:t>Zakon o ratifikaciji UN Konvencije o pravima deteta („Sl.list SFRJ - Međunarodni ugovori“, br 15/90 i „Sl-list SRJ - Međunarodni ugovori“, br 4/96 i 2/97), član</w:t>
      </w:r>
      <w:r w:rsidRPr="0034156C">
        <w:rPr>
          <w:rFonts w:ascii="Book Antiqua" w:hAnsi="Book Antiqua"/>
          <w:sz w:val="18"/>
          <w:szCs w:val="18"/>
          <w:lang w:val="sr-Latn-RS"/>
        </w:rPr>
        <w:t xml:space="preserve"> 1</w:t>
      </w:r>
    </w:p>
  </w:footnote>
  <w:footnote w:id="2">
    <w:p w:rsidR="006F4F0E" w:rsidRPr="006F4F0E" w:rsidRDefault="006F4F0E" w:rsidP="006F4F0E">
      <w:pPr>
        <w:pStyle w:val="FootnoteText"/>
        <w:rPr>
          <w:lang w:val="sr-Latn-RS"/>
        </w:rPr>
      </w:pPr>
      <w:r>
        <w:rPr>
          <w:rStyle w:val="FootnoteReference"/>
        </w:rPr>
        <w:footnoteRef/>
      </w:r>
      <w:r>
        <w:t xml:space="preserve"> </w:t>
      </w:r>
      <w:r w:rsidRPr="006F4F0E">
        <w:rPr>
          <w:rFonts w:ascii="Book Antiqua" w:eastAsia="Times New Roman" w:hAnsi="Book Antiqua" w:cs="Times New Roman"/>
          <w:sz w:val="18"/>
          <w:szCs w:val="18"/>
          <w:lang w:val="en-US"/>
        </w:rPr>
        <w:t xml:space="preserve">Republički zavod za socijalnu zaštitu, </w:t>
      </w:r>
      <w:r w:rsidRPr="006F4F0E">
        <w:rPr>
          <w:rFonts w:ascii="Book Antiqua" w:eastAsia="Times New Roman" w:hAnsi="Book Antiqua" w:cs="Times New Roman"/>
          <w:i/>
          <w:sz w:val="18"/>
          <w:szCs w:val="18"/>
          <w:lang w:val="en-US"/>
        </w:rPr>
        <w:t>Deca u sistemu socijalne zaštite 2015</w:t>
      </w:r>
      <w:r w:rsidRPr="006F4F0E">
        <w:rPr>
          <w:rFonts w:ascii="Book Antiqua" w:eastAsia="Times New Roman" w:hAnsi="Book Antiqua" w:cs="Times New Roman"/>
          <w:sz w:val="18"/>
          <w:szCs w:val="18"/>
          <w:lang w:val="en-US"/>
        </w:rPr>
        <w:t xml:space="preserve">, Beograd, jul 2016, </w:t>
      </w:r>
      <w:hyperlink r:id="rId1" w:history="1">
        <w:r w:rsidRPr="006F4F0E">
          <w:rPr>
            <w:rFonts w:ascii="Book Antiqua" w:eastAsia="Times New Roman" w:hAnsi="Book Antiqua" w:cs="Times New Roman"/>
            <w:sz w:val="18"/>
            <w:szCs w:val="18"/>
            <w:lang w:val="en-US"/>
          </w:rPr>
          <w:t>http://www.zavodsz.gov.rs/PDF/izvestaj2016/deca%20u%20sistemu%20socijalne%20zastite%202015.pdf</w:t>
        </w:r>
      </w:hyperlink>
      <w:r>
        <w:rPr>
          <w:lang w:val="sr-Latn-RS"/>
        </w:rPr>
        <w:t xml:space="preserve"> </w:t>
      </w:r>
    </w:p>
  </w:footnote>
  <w:footnote w:id="3">
    <w:p w:rsidR="00F05399" w:rsidRPr="00F05399" w:rsidRDefault="00F05399" w:rsidP="007C327E">
      <w:pPr>
        <w:pStyle w:val="FootnoteText"/>
        <w:jc w:val="both"/>
        <w:rPr>
          <w:lang w:val="sr-Latn-RS"/>
        </w:rPr>
      </w:pPr>
      <w:r>
        <w:rPr>
          <w:rStyle w:val="FootnoteReference"/>
        </w:rPr>
        <w:footnoteRef/>
      </w:r>
      <w:r>
        <w:t xml:space="preserve"> </w:t>
      </w:r>
      <w:r w:rsidRPr="0034156C">
        <w:rPr>
          <w:rFonts w:ascii="Book Antiqua" w:hAnsi="Book Antiqua"/>
          <w:sz w:val="18"/>
          <w:szCs w:val="18"/>
          <w:lang w:val="sr-Latn-RS"/>
        </w:rPr>
        <w:t>Porodični zakon</w:t>
      </w:r>
      <w:r w:rsidR="0034156C">
        <w:rPr>
          <w:rFonts w:ascii="Book Antiqua" w:hAnsi="Book Antiqua"/>
          <w:sz w:val="18"/>
          <w:szCs w:val="18"/>
          <w:lang w:val="sr-Latn-RS"/>
        </w:rPr>
        <w:t xml:space="preserve"> </w:t>
      </w:r>
      <w:r w:rsidR="0034156C" w:rsidRPr="001C3B19">
        <w:rPr>
          <w:rFonts w:ascii="Book Antiqua" w:hAnsi="Book Antiqua"/>
          <w:lang w:val="sr-Latn-RS"/>
        </w:rPr>
        <w:t>("Sl. glasnik RS", br. 18/2005, 72/2011 - dr. zakon i 6/2015)</w:t>
      </w:r>
      <w:r w:rsidRPr="0034156C">
        <w:rPr>
          <w:rFonts w:ascii="Book Antiqua" w:hAnsi="Book Antiqua"/>
          <w:sz w:val="18"/>
          <w:szCs w:val="18"/>
          <w:lang w:val="sr-Latn-RS"/>
        </w:rPr>
        <w:t>, čl 6, st1</w:t>
      </w:r>
    </w:p>
  </w:footnote>
  <w:footnote w:id="4">
    <w:p w:rsidR="00727880" w:rsidRPr="003376EB" w:rsidRDefault="00727880" w:rsidP="007C327E">
      <w:pPr>
        <w:pStyle w:val="FootnoteText"/>
        <w:jc w:val="both"/>
        <w:rPr>
          <w:rFonts w:ascii="Book Antiqua" w:hAnsi="Book Antiqua"/>
          <w:sz w:val="18"/>
          <w:szCs w:val="18"/>
          <w:lang w:val="sr-Latn-RS"/>
        </w:rPr>
      </w:pPr>
      <w:r>
        <w:rPr>
          <w:rStyle w:val="FootnoteReference"/>
        </w:rPr>
        <w:footnoteRef/>
      </w:r>
      <w:r w:rsidR="0034156C">
        <w:t xml:space="preserve"> </w:t>
      </w:r>
      <w:r w:rsidR="0034156C" w:rsidRPr="007C327E">
        <w:rPr>
          <w:rFonts w:ascii="Book Antiqua" w:eastAsia="Times New Roman" w:hAnsi="Book Antiqua" w:cs="Times New Roman"/>
          <w:sz w:val="18"/>
          <w:szCs w:val="18"/>
          <w:lang w:val="en-US"/>
        </w:rPr>
        <w:t>Konvencija Ujedinjenih nacija o pravima</w:t>
      </w:r>
      <w:r w:rsidR="0034156C" w:rsidRPr="0034156C">
        <w:rPr>
          <w:rFonts w:ascii="Book Antiqua" w:hAnsi="Book Antiqua"/>
          <w:sz w:val="18"/>
          <w:szCs w:val="18"/>
          <w:lang w:val="sr-Latn-RS"/>
        </w:rPr>
        <w:t xml:space="preserve"> deteta - </w:t>
      </w:r>
      <w:r w:rsidR="0034156C" w:rsidRPr="003376EB">
        <w:rPr>
          <w:rFonts w:ascii="Book Antiqua" w:hAnsi="Book Antiqua"/>
          <w:sz w:val="18"/>
          <w:szCs w:val="18"/>
          <w:lang w:val="sr-Latn-RS"/>
        </w:rPr>
        <w:t xml:space="preserve">Zakon o ratifikaciji UN Konvencije o pravima deteta </w:t>
      </w:r>
    </w:p>
  </w:footnote>
  <w:footnote w:id="5">
    <w:p w:rsidR="00727880" w:rsidRPr="0034156C" w:rsidRDefault="00727880" w:rsidP="007C327E">
      <w:pPr>
        <w:pStyle w:val="FootnoteText"/>
        <w:jc w:val="both"/>
        <w:rPr>
          <w:rFonts w:ascii="Book Antiqua" w:hAnsi="Book Antiqua"/>
          <w:sz w:val="18"/>
          <w:szCs w:val="18"/>
          <w:lang w:val="sr-Latn-RS"/>
        </w:rPr>
      </w:pPr>
      <w:r>
        <w:rPr>
          <w:rStyle w:val="FootnoteReference"/>
        </w:rPr>
        <w:footnoteRef/>
      </w:r>
      <w:r>
        <w:t xml:space="preserve"> </w:t>
      </w:r>
      <w:r w:rsidRPr="0034156C">
        <w:rPr>
          <w:rFonts w:ascii="Book Antiqua" w:hAnsi="Book Antiqua"/>
          <w:sz w:val="18"/>
          <w:szCs w:val="18"/>
          <w:lang w:val="sr-Latn-RS"/>
        </w:rPr>
        <w:t>Porodični zakon</w:t>
      </w:r>
      <w:r w:rsidR="0034156C">
        <w:rPr>
          <w:rFonts w:ascii="Book Antiqua" w:hAnsi="Book Antiqua"/>
          <w:sz w:val="18"/>
          <w:szCs w:val="18"/>
          <w:lang w:val="sr-Latn-RS"/>
        </w:rPr>
        <w:t xml:space="preserve"> </w:t>
      </w:r>
      <w:r w:rsidR="0034156C" w:rsidRPr="00B175AF">
        <w:rPr>
          <w:rFonts w:ascii="Book Antiqua" w:hAnsi="Book Antiqua"/>
          <w:sz w:val="18"/>
          <w:szCs w:val="18"/>
          <w:lang w:val="sr-Latn-RS"/>
        </w:rPr>
        <w:t>("Sl. glasnik RS", br. 18/2005, 72/2011 - dr. zakon i 6/2015)</w:t>
      </w:r>
    </w:p>
  </w:footnote>
  <w:footnote w:id="6">
    <w:p w:rsidR="00727880" w:rsidRPr="0034156C" w:rsidRDefault="00727880" w:rsidP="007C327E">
      <w:pPr>
        <w:pStyle w:val="FootnoteText"/>
        <w:jc w:val="both"/>
        <w:rPr>
          <w:rFonts w:ascii="Book Antiqua" w:hAnsi="Book Antiqua"/>
          <w:sz w:val="18"/>
          <w:szCs w:val="18"/>
          <w:lang w:val="sr-Latn-RS"/>
        </w:rPr>
      </w:pPr>
      <w:r>
        <w:rPr>
          <w:rStyle w:val="FootnoteReference"/>
        </w:rPr>
        <w:footnoteRef/>
      </w:r>
      <w:r>
        <w:t xml:space="preserve"> </w:t>
      </w:r>
      <w:r w:rsidRPr="0034156C">
        <w:rPr>
          <w:rFonts w:ascii="Book Antiqua" w:hAnsi="Book Antiqua"/>
          <w:sz w:val="18"/>
          <w:szCs w:val="18"/>
          <w:lang w:val="sr-Latn-RS"/>
        </w:rPr>
        <w:t>Krivični zakonik</w:t>
      </w:r>
      <w:r w:rsidR="0034156C">
        <w:rPr>
          <w:rFonts w:ascii="Book Antiqua" w:hAnsi="Book Antiqua"/>
          <w:sz w:val="18"/>
          <w:szCs w:val="18"/>
          <w:lang w:val="sr-Latn-RS"/>
        </w:rPr>
        <w:t xml:space="preserve"> </w:t>
      </w:r>
      <w:r w:rsidR="0034156C" w:rsidRPr="00B175AF">
        <w:rPr>
          <w:rFonts w:ascii="Book Antiqua" w:hAnsi="Book Antiqua"/>
          <w:sz w:val="18"/>
          <w:szCs w:val="18"/>
          <w:lang w:val="sr-Latn-RS"/>
        </w:rPr>
        <w:t>("Sl. glasnik RS", br. 85/2005, 88/2005 - ispr., 107/2005 - ispr., 72/2009, 111/2009, 121/2012, 104/2013 i 108/2014)</w:t>
      </w:r>
    </w:p>
  </w:footnote>
  <w:footnote w:id="7">
    <w:p w:rsidR="00537FDA" w:rsidRPr="003376EB" w:rsidRDefault="00537FDA" w:rsidP="007C327E">
      <w:pPr>
        <w:pStyle w:val="FootnoteText"/>
        <w:jc w:val="both"/>
        <w:rPr>
          <w:rFonts w:ascii="Book Antiqua" w:hAnsi="Book Antiqua"/>
          <w:sz w:val="18"/>
          <w:szCs w:val="18"/>
          <w:lang w:val="sr-Latn-RS"/>
        </w:rPr>
      </w:pPr>
      <w:r>
        <w:rPr>
          <w:rStyle w:val="FootnoteReference"/>
        </w:rPr>
        <w:footnoteRef/>
      </w:r>
      <w:r>
        <w:t xml:space="preserve"> </w:t>
      </w:r>
      <w:r w:rsidRPr="00A55FE7">
        <w:rPr>
          <w:rFonts w:ascii="Book Antiqua" w:hAnsi="Book Antiqua"/>
          <w:sz w:val="18"/>
          <w:szCs w:val="18"/>
          <w:lang w:val="sr-Latn-RS"/>
        </w:rPr>
        <w:t>CRC/C/SRB/2-3 Committee on the Rights of the Child</w:t>
      </w:r>
      <w:r w:rsidR="00A55FE7" w:rsidRPr="00A55FE7">
        <w:rPr>
          <w:rFonts w:ascii="Book Antiqua" w:hAnsi="Book Antiqua"/>
          <w:sz w:val="18"/>
          <w:szCs w:val="18"/>
          <w:lang w:val="sr-Latn-RS"/>
        </w:rPr>
        <w:t>,</w:t>
      </w:r>
      <w:r w:rsidR="00A55FE7">
        <w:rPr>
          <w:rFonts w:ascii="Book Antiqua" w:hAnsi="Book Antiqua"/>
          <w:sz w:val="18"/>
          <w:szCs w:val="18"/>
          <w:lang w:val="sr-Latn-RS"/>
        </w:rPr>
        <w:t xml:space="preserve"> </w:t>
      </w:r>
      <w:hyperlink r:id="rId2" w:history="1">
        <w:r w:rsidR="00A55FE7" w:rsidRPr="007C327E">
          <w:rPr>
            <w:rFonts w:ascii="Book Antiqua" w:hAnsi="Book Antiqua"/>
            <w:sz w:val="18"/>
            <w:szCs w:val="18"/>
            <w:lang w:val="sr-Latn-RS"/>
          </w:rPr>
          <w:t>http://tbinternet.ohchr.org/_layouts/treatybodyexternal/Download.aspx?symbolno=CRC%2FC%2FSRB%2F2-3&amp;Lang=en</w:t>
        </w:r>
      </w:hyperlink>
      <w:r w:rsidR="00A55FE7">
        <w:rPr>
          <w:rFonts w:ascii="Book Antiqua" w:hAnsi="Book Antiqua"/>
          <w:sz w:val="18"/>
          <w:szCs w:val="18"/>
          <w:lang w:val="sr-Latn-RS"/>
        </w:rPr>
        <w:t>, 28.11.2016.</w:t>
      </w:r>
    </w:p>
  </w:footnote>
  <w:footnote w:id="8">
    <w:p w:rsidR="007C327E" w:rsidRPr="00432AB5" w:rsidRDefault="007C327E" w:rsidP="007C327E">
      <w:pPr>
        <w:pStyle w:val="FootnoteText"/>
        <w:jc w:val="both"/>
        <w:rPr>
          <w:rFonts w:ascii="Book Antiqua" w:hAnsi="Book Antiqua"/>
          <w:sz w:val="18"/>
          <w:szCs w:val="18"/>
          <w:lang w:val="sr-Latn-RS"/>
        </w:rPr>
      </w:pPr>
      <w:r w:rsidRPr="00432AB5">
        <w:rPr>
          <w:rStyle w:val="FootnoteReference"/>
          <w:rFonts w:ascii="Book Antiqua" w:hAnsi="Book Antiqua"/>
          <w:sz w:val="18"/>
          <w:szCs w:val="18"/>
        </w:rPr>
        <w:footnoteRef/>
      </w:r>
      <w:r w:rsidRPr="00432AB5">
        <w:rPr>
          <w:rFonts w:ascii="Book Antiqua" w:hAnsi="Book Antiqua"/>
          <w:sz w:val="18"/>
          <w:szCs w:val="18"/>
        </w:rPr>
        <w:t xml:space="preserve"> </w:t>
      </w:r>
      <w:r w:rsidRPr="00432AB5">
        <w:rPr>
          <w:rFonts w:ascii="Book Antiqua" w:hAnsi="Book Antiqua"/>
          <w:sz w:val="18"/>
          <w:szCs w:val="18"/>
          <w:lang w:val="sr-Latn-RS"/>
        </w:rPr>
        <w:t>Zakon o osnovama sistema obrazovanja i vaspitanja ("Sl. glasnik RS", br. 72/2009, 52/2011, 55/2013, 35/2015 - autentično tumačenje, 68/2015 i 62/2016 - odluka US)</w:t>
      </w:r>
    </w:p>
  </w:footnote>
  <w:footnote w:id="9">
    <w:p w:rsidR="007C327E" w:rsidRPr="00432AB5" w:rsidRDefault="007C327E" w:rsidP="007C327E">
      <w:pPr>
        <w:pStyle w:val="FootnoteText"/>
        <w:jc w:val="both"/>
        <w:rPr>
          <w:rFonts w:ascii="Book Antiqua" w:hAnsi="Book Antiqua"/>
          <w:sz w:val="18"/>
          <w:szCs w:val="18"/>
          <w:lang w:val="en-US"/>
        </w:rPr>
      </w:pPr>
      <w:r w:rsidRPr="00432AB5">
        <w:rPr>
          <w:rStyle w:val="FootnoteReference"/>
          <w:rFonts w:ascii="Book Antiqua" w:hAnsi="Book Antiqua"/>
          <w:sz w:val="18"/>
          <w:szCs w:val="18"/>
        </w:rPr>
        <w:footnoteRef/>
      </w:r>
      <w:r w:rsidRPr="00432AB5">
        <w:rPr>
          <w:rFonts w:ascii="Book Antiqua" w:hAnsi="Book Antiqua"/>
          <w:sz w:val="18"/>
          <w:szCs w:val="18"/>
        </w:rPr>
        <w:t xml:space="preserve"> </w:t>
      </w:r>
      <w:r w:rsidRPr="00432AB5">
        <w:rPr>
          <w:rFonts w:ascii="Book Antiqua" w:eastAsia="Times New Roman" w:hAnsi="Book Antiqua" w:cs="Times New Roman"/>
          <w:sz w:val="18"/>
          <w:szCs w:val="18"/>
          <w:lang w:val="en-US"/>
        </w:rPr>
        <w:t xml:space="preserve">Opšti protokol za zaštitu dece </w:t>
      </w:r>
      <w:proofErr w:type="gramStart"/>
      <w:r w:rsidRPr="00432AB5">
        <w:rPr>
          <w:rFonts w:ascii="Book Antiqua" w:eastAsia="Times New Roman" w:hAnsi="Book Antiqua" w:cs="Times New Roman"/>
          <w:sz w:val="18"/>
          <w:szCs w:val="18"/>
          <w:lang w:val="en-US"/>
        </w:rPr>
        <w:t>od</w:t>
      </w:r>
      <w:proofErr w:type="gramEnd"/>
      <w:r w:rsidRPr="00432AB5">
        <w:rPr>
          <w:rFonts w:ascii="Book Antiqua" w:eastAsia="Times New Roman" w:hAnsi="Book Antiqua" w:cs="Times New Roman"/>
          <w:sz w:val="18"/>
          <w:szCs w:val="18"/>
          <w:lang w:val="en-US"/>
        </w:rPr>
        <w:t xml:space="preserve"> zlostavljanja i zanemarivanja, Zaključak Vlade Republike Srbije 05 broj: 011-5196/2005 od 25. </w:t>
      </w:r>
      <w:proofErr w:type="gramStart"/>
      <w:r w:rsidRPr="00432AB5">
        <w:rPr>
          <w:rFonts w:ascii="Book Antiqua" w:eastAsia="Times New Roman" w:hAnsi="Book Antiqua" w:cs="Times New Roman"/>
          <w:sz w:val="18"/>
          <w:szCs w:val="18"/>
          <w:lang w:val="en-US"/>
        </w:rPr>
        <w:t>avgusta</w:t>
      </w:r>
      <w:proofErr w:type="gramEnd"/>
      <w:r w:rsidRPr="00432AB5">
        <w:rPr>
          <w:rFonts w:ascii="Book Antiqua" w:eastAsia="Times New Roman" w:hAnsi="Book Antiqua" w:cs="Times New Roman"/>
          <w:sz w:val="18"/>
          <w:szCs w:val="18"/>
          <w:lang w:val="en-US"/>
        </w:rPr>
        <w:t xml:space="preserve"> 2005. godine</w:t>
      </w:r>
    </w:p>
  </w:footnote>
  <w:footnote w:id="10">
    <w:p w:rsidR="007C327E" w:rsidRPr="00432AB5" w:rsidRDefault="007C327E" w:rsidP="007C327E">
      <w:pPr>
        <w:spacing w:after="0" w:line="240" w:lineRule="auto"/>
        <w:jc w:val="both"/>
        <w:rPr>
          <w:rFonts w:ascii="Book Antiqua" w:hAnsi="Book Antiqua"/>
          <w:sz w:val="18"/>
          <w:szCs w:val="18"/>
          <w:lang w:val="en-US"/>
        </w:rPr>
      </w:pPr>
      <w:r w:rsidRPr="00432AB5">
        <w:rPr>
          <w:rStyle w:val="FootnoteReference"/>
          <w:rFonts w:ascii="Book Antiqua" w:hAnsi="Book Antiqua"/>
          <w:sz w:val="18"/>
          <w:szCs w:val="18"/>
        </w:rPr>
        <w:footnoteRef/>
      </w:r>
      <w:r w:rsidRPr="00432AB5">
        <w:rPr>
          <w:rFonts w:ascii="Book Antiqua" w:hAnsi="Book Antiqua"/>
          <w:sz w:val="18"/>
          <w:szCs w:val="18"/>
        </w:rPr>
        <w:t xml:space="preserve"> </w:t>
      </w:r>
      <w:r w:rsidRPr="00432AB5">
        <w:rPr>
          <w:rFonts w:ascii="Book Antiqua" w:eastAsia="Times New Roman" w:hAnsi="Book Antiqua" w:cs="Times New Roman"/>
          <w:sz w:val="18"/>
          <w:szCs w:val="18"/>
          <w:lang w:val="en-US"/>
        </w:rPr>
        <w:t>Nacionalni plan akcije za decu, Savet za prava deteta Vlade Republike Srbije B</w:t>
      </w:r>
      <w:r w:rsidR="000609EB">
        <w:rPr>
          <w:rFonts w:ascii="Book Antiqua" w:eastAsia="Times New Roman" w:hAnsi="Book Antiqua" w:cs="Times New Roman"/>
          <w:sz w:val="18"/>
          <w:szCs w:val="18"/>
          <w:lang w:val="en-US"/>
        </w:rPr>
        <w:t>eograd, 2004</w:t>
      </w:r>
      <w:r w:rsidRPr="00432AB5">
        <w:rPr>
          <w:rFonts w:ascii="Book Antiqua" w:eastAsia="Times New Roman" w:hAnsi="Book Antiqua" w:cs="Times New Roman"/>
          <w:sz w:val="18"/>
          <w:szCs w:val="18"/>
          <w:lang w:val="en-US"/>
        </w:rPr>
        <w:t xml:space="preserve"> </w:t>
      </w:r>
    </w:p>
  </w:footnote>
  <w:footnote w:id="11">
    <w:p w:rsidR="007C327E" w:rsidRPr="00432AB5" w:rsidRDefault="007C327E" w:rsidP="007C327E">
      <w:pPr>
        <w:pStyle w:val="FootnoteText"/>
        <w:jc w:val="both"/>
        <w:rPr>
          <w:rFonts w:ascii="Book Antiqua" w:hAnsi="Book Antiqua"/>
          <w:sz w:val="18"/>
          <w:szCs w:val="18"/>
          <w:lang w:val="en-US"/>
        </w:rPr>
      </w:pPr>
      <w:r w:rsidRPr="00432AB5">
        <w:rPr>
          <w:rStyle w:val="FootnoteReference"/>
          <w:rFonts w:ascii="Book Antiqua" w:hAnsi="Book Antiqua"/>
          <w:sz w:val="18"/>
          <w:szCs w:val="18"/>
        </w:rPr>
        <w:footnoteRef/>
      </w:r>
      <w:r w:rsidRPr="00432AB5">
        <w:rPr>
          <w:rFonts w:ascii="Book Antiqua" w:hAnsi="Book Antiqua"/>
          <w:sz w:val="18"/>
          <w:szCs w:val="18"/>
        </w:rPr>
        <w:t xml:space="preserve"> </w:t>
      </w:r>
      <w:r w:rsidRPr="00432AB5">
        <w:rPr>
          <w:rFonts w:ascii="Book Antiqua" w:eastAsia="Times New Roman" w:hAnsi="Book Antiqua" w:cs="Times New Roman"/>
          <w:sz w:val="18"/>
          <w:szCs w:val="18"/>
          <w:lang w:val="en-US"/>
        </w:rPr>
        <w:t>Pravilnik o protokolu postupanja u ustanovi u odgovoru na nasilje, zlostavljanje i zanemarivanje ("Sl. glasnik RS", br. 30/2010)</w:t>
      </w:r>
    </w:p>
  </w:footnote>
  <w:footnote w:id="12">
    <w:p w:rsidR="007C327E" w:rsidRPr="00432AB5" w:rsidRDefault="007C327E" w:rsidP="007C327E">
      <w:pPr>
        <w:pStyle w:val="FootnoteText"/>
        <w:jc w:val="both"/>
        <w:rPr>
          <w:rFonts w:ascii="Book Antiqua" w:hAnsi="Book Antiqua"/>
          <w:sz w:val="18"/>
          <w:szCs w:val="18"/>
          <w:lang w:val="en-US"/>
        </w:rPr>
      </w:pPr>
      <w:r w:rsidRPr="00432AB5">
        <w:rPr>
          <w:rStyle w:val="FootnoteReference"/>
          <w:rFonts w:ascii="Book Antiqua" w:hAnsi="Book Antiqua"/>
          <w:sz w:val="18"/>
          <w:szCs w:val="18"/>
        </w:rPr>
        <w:footnoteRef/>
      </w:r>
      <w:r w:rsidRPr="00432AB5">
        <w:rPr>
          <w:rFonts w:ascii="Book Antiqua" w:hAnsi="Book Antiqua"/>
          <w:sz w:val="18"/>
          <w:szCs w:val="18"/>
        </w:rPr>
        <w:t xml:space="preserve"> </w:t>
      </w:r>
      <w:r w:rsidRPr="00432AB5">
        <w:rPr>
          <w:rFonts w:ascii="Book Antiqua" w:eastAsia="Times New Roman" w:hAnsi="Book Antiqua" w:cs="Times New Roman"/>
          <w:sz w:val="18"/>
          <w:szCs w:val="18"/>
          <w:lang w:val="en-US"/>
        </w:rPr>
        <w:t>Posebni protokol sistema zdravstvene zaštite za zaštitu dece od zlostavljanja i zanemarivanja, Ministarstvo zdravlja Republike Srbije, Beograd, 2009</w:t>
      </w:r>
    </w:p>
  </w:footnote>
  <w:footnote w:id="13">
    <w:p w:rsidR="007C327E" w:rsidRPr="00432AB5" w:rsidRDefault="007C327E" w:rsidP="007C327E">
      <w:pPr>
        <w:pStyle w:val="FootnoteText"/>
        <w:jc w:val="both"/>
        <w:rPr>
          <w:rFonts w:ascii="Book Antiqua" w:hAnsi="Book Antiqua"/>
          <w:sz w:val="18"/>
          <w:szCs w:val="18"/>
          <w:lang w:val="en-US"/>
        </w:rPr>
      </w:pPr>
      <w:r w:rsidRPr="00432AB5">
        <w:rPr>
          <w:rStyle w:val="FootnoteReference"/>
          <w:rFonts w:ascii="Book Antiqua" w:hAnsi="Book Antiqua"/>
          <w:sz w:val="18"/>
          <w:szCs w:val="18"/>
        </w:rPr>
        <w:footnoteRef/>
      </w:r>
      <w:r w:rsidRPr="00432AB5">
        <w:rPr>
          <w:rFonts w:ascii="Book Antiqua" w:hAnsi="Book Antiqua"/>
          <w:sz w:val="18"/>
          <w:szCs w:val="18"/>
        </w:rPr>
        <w:t xml:space="preserve"> </w:t>
      </w:r>
      <w:r w:rsidRPr="00432AB5">
        <w:rPr>
          <w:rFonts w:ascii="Book Antiqua" w:eastAsia="Times New Roman" w:hAnsi="Book Antiqua" w:cs="Times New Roman"/>
          <w:sz w:val="18"/>
          <w:szCs w:val="18"/>
          <w:lang w:val="en-US"/>
        </w:rPr>
        <w:t>Posebni protokol o postupanju pravosudnih organa u zaštiti maloletnih lica od zlostavljanja i zanemarivanja, Ministarstvo pravde Republike Srbije, Beograd, 2009</w:t>
      </w:r>
    </w:p>
  </w:footnote>
  <w:footnote w:id="14">
    <w:p w:rsidR="007C327E" w:rsidRPr="00432AB5" w:rsidRDefault="007C327E" w:rsidP="007C327E">
      <w:pPr>
        <w:pStyle w:val="FootnoteText"/>
        <w:jc w:val="both"/>
        <w:rPr>
          <w:rFonts w:ascii="Book Antiqua" w:hAnsi="Book Antiqua"/>
          <w:sz w:val="18"/>
          <w:szCs w:val="18"/>
          <w:lang w:val="en-US"/>
        </w:rPr>
      </w:pPr>
      <w:r w:rsidRPr="00432AB5">
        <w:rPr>
          <w:rStyle w:val="FootnoteReference"/>
          <w:rFonts w:ascii="Book Antiqua" w:hAnsi="Book Antiqua"/>
          <w:sz w:val="18"/>
          <w:szCs w:val="18"/>
        </w:rPr>
        <w:footnoteRef/>
      </w:r>
      <w:r w:rsidRPr="00432AB5">
        <w:rPr>
          <w:rFonts w:ascii="Book Antiqua" w:hAnsi="Book Antiqua"/>
          <w:sz w:val="18"/>
          <w:szCs w:val="18"/>
        </w:rPr>
        <w:t xml:space="preserve"> Posebni protokol za zaštitu dece od zlostavljanja i zanemarivanja u ustanovama socijalne zaštite, Ministarstvo rada, zapošljavanja i socijalne politike Republike Srbije, Beograd, 2006</w:t>
      </w:r>
    </w:p>
  </w:footnote>
  <w:footnote w:id="15">
    <w:p w:rsidR="007C327E" w:rsidRPr="00432AB5" w:rsidRDefault="007C327E" w:rsidP="007C327E">
      <w:pPr>
        <w:spacing w:after="0" w:line="240" w:lineRule="auto"/>
        <w:jc w:val="both"/>
        <w:rPr>
          <w:rFonts w:ascii="Book Antiqua" w:eastAsia="Times New Roman" w:hAnsi="Book Antiqua" w:cs="Times New Roman"/>
          <w:sz w:val="18"/>
          <w:szCs w:val="18"/>
          <w:lang w:val="en-US"/>
        </w:rPr>
      </w:pPr>
      <w:r w:rsidRPr="00432AB5">
        <w:rPr>
          <w:rStyle w:val="FootnoteReference"/>
          <w:rFonts w:ascii="Book Antiqua" w:hAnsi="Book Antiqua"/>
          <w:sz w:val="18"/>
          <w:szCs w:val="18"/>
        </w:rPr>
        <w:footnoteRef/>
      </w:r>
      <w:r w:rsidRPr="00432AB5">
        <w:rPr>
          <w:rFonts w:ascii="Book Antiqua" w:hAnsi="Book Antiqua"/>
          <w:sz w:val="18"/>
          <w:szCs w:val="18"/>
        </w:rPr>
        <w:t xml:space="preserve"> </w:t>
      </w:r>
      <w:r w:rsidRPr="00432AB5">
        <w:rPr>
          <w:rFonts w:ascii="Book Antiqua" w:eastAsia="Times New Roman" w:hAnsi="Book Antiqua" w:cs="Times New Roman"/>
          <w:sz w:val="18"/>
          <w:szCs w:val="18"/>
          <w:lang w:val="en-US"/>
        </w:rPr>
        <w:t>Posebni protokol o postupanju policijskih službenika u zaštiti maloletnih lica od zlostavljanja i zanemarivanja, Ministartvo unutrašnjih poslova Republike Srbije, Beograd 2007</w:t>
      </w:r>
    </w:p>
  </w:footnote>
  <w:footnote w:id="16">
    <w:p w:rsidR="007C327E" w:rsidRPr="00432AB5" w:rsidRDefault="007C327E" w:rsidP="007C327E">
      <w:pPr>
        <w:pStyle w:val="FootnoteText"/>
        <w:jc w:val="both"/>
        <w:rPr>
          <w:rFonts w:ascii="Book Antiqua" w:hAnsi="Book Antiqua"/>
          <w:sz w:val="18"/>
          <w:szCs w:val="18"/>
          <w:lang w:val="en-US"/>
        </w:rPr>
      </w:pPr>
      <w:r w:rsidRPr="00432AB5">
        <w:rPr>
          <w:rStyle w:val="FootnoteReference"/>
          <w:rFonts w:ascii="Book Antiqua" w:hAnsi="Book Antiqua"/>
          <w:sz w:val="18"/>
          <w:szCs w:val="18"/>
        </w:rPr>
        <w:footnoteRef/>
      </w:r>
      <w:r w:rsidRPr="00432AB5">
        <w:rPr>
          <w:rFonts w:ascii="Book Antiqua" w:hAnsi="Book Antiqua"/>
          <w:sz w:val="18"/>
          <w:szCs w:val="18"/>
        </w:rPr>
        <w:t xml:space="preserve"> </w:t>
      </w:r>
      <w:r w:rsidRPr="00432AB5">
        <w:rPr>
          <w:rFonts w:ascii="Book Antiqua" w:eastAsia="Times New Roman" w:hAnsi="Book Antiqua" w:cs="Times New Roman"/>
          <w:sz w:val="18"/>
          <w:szCs w:val="18"/>
          <w:lang w:val="en-US"/>
        </w:rPr>
        <w:t>Posebni protokol sistema zdravstvene zaštite za zaštitu dece od zlostavljanja i zanemarivanja, Ministarstvo zdravlja Republike Srbije, Beograd, 2009</w:t>
      </w:r>
    </w:p>
  </w:footnote>
  <w:footnote w:id="17">
    <w:p w:rsidR="002D1852" w:rsidRPr="006514AC" w:rsidRDefault="002D1852" w:rsidP="007C327E">
      <w:pPr>
        <w:pStyle w:val="FootnoteText"/>
        <w:jc w:val="both"/>
        <w:rPr>
          <w:rFonts w:ascii="Book Antiqua" w:hAnsi="Book Antiqua"/>
          <w:sz w:val="18"/>
          <w:szCs w:val="18"/>
          <w:lang w:val="sr-Latn-RS"/>
        </w:rPr>
      </w:pPr>
      <w:r>
        <w:rPr>
          <w:rStyle w:val="FootnoteReference"/>
        </w:rPr>
        <w:footnoteRef/>
      </w:r>
      <w:r>
        <w:t xml:space="preserve"> </w:t>
      </w:r>
      <w:r w:rsidRPr="006514AC">
        <w:rPr>
          <w:rFonts w:ascii="Book Antiqua" w:hAnsi="Book Antiqua"/>
          <w:sz w:val="18"/>
          <w:szCs w:val="18"/>
          <w:lang w:val="sr-Latn-RS"/>
        </w:rPr>
        <w:t>Krivični zakonik, čl 112, st 8-9</w:t>
      </w:r>
    </w:p>
  </w:footnote>
  <w:footnote w:id="18">
    <w:p w:rsidR="002D1852" w:rsidRPr="006514AC" w:rsidRDefault="002D1852" w:rsidP="007C327E">
      <w:pPr>
        <w:pStyle w:val="FootnoteText"/>
        <w:jc w:val="both"/>
        <w:rPr>
          <w:rFonts w:ascii="Book Antiqua" w:hAnsi="Book Antiqua"/>
          <w:sz w:val="18"/>
          <w:szCs w:val="18"/>
          <w:lang w:val="sr-Latn-RS"/>
        </w:rPr>
      </w:pPr>
      <w:r>
        <w:rPr>
          <w:rStyle w:val="FootnoteReference"/>
        </w:rPr>
        <w:footnoteRef/>
      </w:r>
      <w:r>
        <w:t xml:space="preserve"> </w:t>
      </w:r>
      <w:r w:rsidRPr="006514AC">
        <w:rPr>
          <w:rFonts w:ascii="Book Antiqua" w:hAnsi="Book Antiqua"/>
          <w:sz w:val="18"/>
          <w:szCs w:val="18"/>
          <w:lang w:val="sr-Latn-RS"/>
        </w:rPr>
        <w:t>Krivični zakonik, čl 194, st 1</w:t>
      </w:r>
    </w:p>
  </w:footnote>
  <w:footnote w:id="19">
    <w:p w:rsidR="002D1852" w:rsidRPr="006514AC" w:rsidRDefault="002D1852" w:rsidP="007C327E">
      <w:pPr>
        <w:pStyle w:val="FootnoteText"/>
        <w:jc w:val="both"/>
        <w:rPr>
          <w:rFonts w:ascii="Book Antiqua" w:hAnsi="Book Antiqua"/>
          <w:sz w:val="18"/>
          <w:szCs w:val="18"/>
          <w:lang w:val="sr-Latn-RS"/>
        </w:rPr>
      </w:pPr>
      <w:r>
        <w:rPr>
          <w:rStyle w:val="FootnoteReference"/>
        </w:rPr>
        <w:footnoteRef/>
      </w:r>
      <w:r>
        <w:t xml:space="preserve"> </w:t>
      </w:r>
      <w:r w:rsidRPr="006514AC">
        <w:rPr>
          <w:rFonts w:ascii="Book Antiqua" w:hAnsi="Book Antiqua"/>
          <w:sz w:val="18"/>
          <w:szCs w:val="18"/>
          <w:lang w:val="sr-Latn-RS"/>
        </w:rPr>
        <w:t>Krivični zakonik, čl 194, st 5</w:t>
      </w:r>
    </w:p>
  </w:footnote>
  <w:footnote w:id="20">
    <w:p w:rsidR="001915EF" w:rsidRPr="006514AC" w:rsidRDefault="001915EF" w:rsidP="007C327E">
      <w:pPr>
        <w:pStyle w:val="FootnoteText"/>
        <w:jc w:val="both"/>
        <w:rPr>
          <w:rFonts w:ascii="Book Antiqua" w:hAnsi="Book Antiqua"/>
          <w:sz w:val="18"/>
          <w:szCs w:val="18"/>
          <w:lang w:val="sr-Latn-RS"/>
        </w:rPr>
      </w:pPr>
      <w:r>
        <w:rPr>
          <w:rStyle w:val="FootnoteReference"/>
        </w:rPr>
        <w:footnoteRef/>
      </w:r>
      <w:r>
        <w:t xml:space="preserve"> </w:t>
      </w:r>
      <w:r w:rsidRPr="006514AC">
        <w:rPr>
          <w:rFonts w:ascii="Book Antiqua" w:hAnsi="Book Antiqua"/>
          <w:sz w:val="18"/>
          <w:szCs w:val="18"/>
          <w:lang w:val="sr-Latn-RS"/>
        </w:rPr>
        <w:t>Krivični zakonik, čl 193, st 2</w:t>
      </w:r>
    </w:p>
  </w:footnote>
  <w:footnote w:id="21">
    <w:p w:rsidR="001915EF" w:rsidRPr="006514AC" w:rsidRDefault="001915EF" w:rsidP="007C327E">
      <w:pPr>
        <w:pStyle w:val="FootnoteText"/>
        <w:jc w:val="both"/>
        <w:rPr>
          <w:rFonts w:ascii="Book Antiqua" w:hAnsi="Book Antiqua"/>
          <w:sz w:val="18"/>
          <w:szCs w:val="18"/>
          <w:lang w:val="sr-Latn-RS"/>
        </w:rPr>
      </w:pPr>
      <w:r>
        <w:rPr>
          <w:rStyle w:val="FootnoteReference"/>
        </w:rPr>
        <w:footnoteRef/>
      </w:r>
      <w:r>
        <w:t xml:space="preserve"> </w:t>
      </w:r>
      <w:r w:rsidRPr="006514AC">
        <w:rPr>
          <w:rFonts w:ascii="Book Antiqua" w:hAnsi="Book Antiqua"/>
          <w:sz w:val="18"/>
          <w:szCs w:val="18"/>
          <w:lang w:val="sr-Latn-RS"/>
        </w:rPr>
        <w:t>Krivični zakonik, čl 193, st 1</w:t>
      </w:r>
    </w:p>
  </w:footnote>
  <w:footnote w:id="22">
    <w:p w:rsidR="002E38AC" w:rsidRPr="006514AC" w:rsidRDefault="002E38AC" w:rsidP="007C327E">
      <w:pPr>
        <w:pStyle w:val="FootnoteText"/>
        <w:jc w:val="both"/>
        <w:rPr>
          <w:rFonts w:ascii="Book Antiqua" w:hAnsi="Book Antiqua"/>
          <w:sz w:val="18"/>
          <w:szCs w:val="18"/>
          <w:lang w:val="sr-Latn-RS"/>
        </w:rPr>
      </w:pPr>
      <w:r>
        <w:rPr>
          <w:rStyle w:val="FootnoteReference"/>
        </w:rPr>
        <w:footnoteRef/>
      </w:r>
      <w:r>
        <w:t xml:space="preserve"> </w:t>
      </w:r>
      <w:r w:rsidRPr="006514AC">
        <w:rPr>
          <w:rFonts w:ascii="Book Antiqua" w:hAnsi="Book Antiqua"/>
          <w:sz w:val="18"/>
          <w:szCs w:val="18"/>
          <w:lang w:val="sr-Latn-RS"/>
        </w:rPr>
        <w:t>Zakon o posebnim merama za sprečavanje vršenja krivičnih dela protiv polne slobode prema maloletnim licima ("Sl. glasnik RS", br. 32/2013), čl 3 i 5</w:t>
      </w:r>
    </w:p>
  </w:footnote>
  <w:footnote w:id="23">
    <w:p w:rsidR="00190997" w:rsidRPr="00F850C3" w:rsidRDefault="00190997" w:rsidP="00190997">
      <w:pPr>
        <w:pStyle w:val="FootnoteText"/>
        <w:rPr>
          <w:lang w:val="sr-Latn-RS"/>
        </w:rPr>
      </w:pPr>
      <w:r>
        <w:rPr>
          <w:rStyle w:val="FootnoteReference"/>
        </w:rPr>
        <w:footnoteRef/>
      </w:r>
      <w:r>
        <w:t xml:space="preserve"> </w:t>
      </w:r>
      <w:r w:rsidR="004F032F" w:rsidRPr="004F032F">
        <w:rPr>
          <w:rFonts w:ascii="Book Antiqua" w:hAnsi="Book Antiqua"/>
          <w:sz w:val="18"/>
          <w:szCs w:val="18"/>
          <w:lang w:val="sr-Latn-RS"/>
        </w:rPr>
        <w:t>Kako do pravosuđa po meri deteta - Zaštita dece žrtava u krivičnim postupcima i stanje u praksi u Republici Srbiji, Centar za prava deteta, 2015, 29-35</w:t>
      </w:r>
    </w:p>
  </w:footnote>
  <w:footnote w:id="24">
    <w:p w:rsidR="0021689D" w:rsidRPr="006514AC" w:rsidRDefault="0021689D" w:rsidP="007C327E">
      <w:pPr>
        <w:pStyle w:val="FootnoteText"/>
        <w:jc w:val="both"/>
        <w:rPr>
          <w:rFonts w:ascii="Book Antiqua" w:hAnsi="Book Antiqua"/>
          <w:sz w:val="18"/>
          <w:szCs w:val="18"/>
          <w:lang w:val="sr-Latn-RS"/>
        </w:rPr>
      </w:pPr>
      <w:r>
        <w:rPr>
          <w:rStyle w:val="FootnoteReference"/>
        </w:rPr>
        <w:footnoteRef/>
      </w:r>
      <w:r>
        <w:t xml:space="preserve"> </w:t>
      </w:r>
      <w:r w:rsidRPr="006514AC">
        <w:rPr>
          <w:rFonts w:ascii="Book Antiqua" w:hAnsi="Book Antiqua"/>
          <w:sz w:val="18"/>
          <w:szCs w:val="18"/>
          <w:lang w:val="sr-Latn-RS"/>
        </w:rPr>
        <w:t>Krivični zakonik, čl 179</w:t>
      </w:r>
    </w:p>
  </w:footnote>
  <w:footnote w:id="25">
    <w:p w:rsidR="0021689D" w:rsidRPr="006514AC" w:rsidRDefault="0021689D" w:rsidP="007C327E">
      <w:pPr>
        <w:pStyle w:val="FootnoteText"/>
        <w:jc w:val="both"/>
        <w:rPr>
          <w:rFonts w:ascii="Book Antiqua" w:hAnsi="Book Antiqua"/>
          <w:sz w:val="18"/>
          <w:szCs w:val="18"/>
          <w:lang w:val="sr-Latn-RS"/>
        </w:rPr>
      </w:pPr>
      <w:r>
        <w:rPr>
          <w:rStyle w:val="FootnoteReference"/>
        </w:rPr>
        <w:footnoteRef/>
      </w:r>
      <w:r>
        <w:t xml:space="preserve"> </w:t>
      </w:r>
      <w:r w:rsidRPr="006514AC">
        <w:rPr>
          <w:rFonts w:ascii="Book Antiqua" w:hAnsi="Book Antiqua"/>
          <w:sz w:val="18"/>
          <w:szCs w:val="18"/>
          <w:lang w:val="sr-Latn-RS"/>
        </w:rPr>
        <w:t>Krivični zakonik, čl 180</w:t>
      </w:r>
    </w:p>
  </w:footnote>
  <w:footnote w:id="26">
    <w:p w:rsidR="007F503A" w:rsidRPr="006514AC" w:rsidRDefault="007F503A" w:rsidP="007C327E">
      <w:pPr>
        <w:pStyle w:val="FootnoteText"/>
        <w:jc w:val="both"/>
        <w:rPr>
          <w:rFonts w:ascii="Book Antiqua" w:hAnsi="Book Antiqua"/>
          <w:sz w:val="18"/>
          <w:szCs w:val="18"/>
          <w:lang w:val="sr-Latn-RS"/>
        </w:rPr>
      </w:pPr>
      <w:r>
        <w:rPr>
          <w:rStyle w:val="FootnoteReference"/>
        </w:rPr>
        <w:footnoteRef/>
      </w:r>
      <w:r>
        <w:t xml:space="preserve"> </w:t>
      </w:r>
      <w:r w:rsidRPr="006514AC">
        <w:rPr>
          <w:rFonts w:ascii="Book Antiqua" w:hAnsi="Book Antiqua"/>
          <w:sz w:val="18"/>
          <w:szCs w:val="18"/>
          <w:lang w:val="sr-Latn-RS"/>
        </w:rPr>
        <w:t>Krivični zakonik, čl 181</w:t>
      </w:r>
    </w:p>
  </w:footnote>
  <w:footnote w:id="27">
    <w:p w:rsidR="007F503A" w:rsidRPr="006514AC" w:rsidRDefault="007F503A" w:rsidP="007C327E">
      <w:pPr>
        <w:pStyle w:val="FootnoteText"/>
        <w:jc w:val="both"/>
        <w:rPr>
          <w:rFonts w:ascii="Book Antiqua" w:hAnsi="Book Antiqua"/>
          <w:sz w:val="18"/>
          <w:szCs w:val="18"/>
          <w:lang w:val="sr-Latn-RS"/>
        </w:rPr>
      </w:pPr>
      <w:r>
        <w:rPr>
          <w:rStyle w:val="FootnoteReference"/>
        </w:rPr>
        <w:footnoteRef/>
      </w:r>
      <w:r>
        <w:t xml:space="preserve"> </w:t>
      </w:r>
      <w:r w:rsidRPr="006514AC">
        <w:rPr>
          <w:rFonts w:ascii="Book Antiqua" w:hAnsi="Book Antiqua"/>
          <w:sz w:val="18"/>
          <w:szCs w:val="18"/>
          <w:lang w:val="sr-Latn-RS"/>
        </w:rPr>
        <w:t>Krivični zakonik, čl 197</w:t>
      </w:r>
    </w:p>
  </w:footnote>
  <w:footnote w:id="28">
    <w:p w:rsidR="002D7841" w:rsidRPr="002D7841" w:rsidRDefault="002D7841">
      <w:pPr>
        <w:pStyle w:val="FootnoteText"/>
        <w:rPr>
          <w:lang w:val="sr-Latn-RS"/>
        </w:rPr>
      </w:pPr>
      <w:r>
        <w:rPr>
          <w:rStyle w:val="FootnoteReference"/>
        </w:rPr>
        <w:footnoteRef/>
      </w:r>
      <w:r>
        <w:t xml:space="preserve"> </w:t>
      </w:r>
      <w:r w:rsidR="00BD3DCC" w:rsidRPr="00BD3DCC">
        <w:rPr>
          <w:rFonts w:ascii="Book Antiqua" w:hAnsi="Book Antiqua"/>
          <w:sz w:val="18"/>
          <w:szCs w:val="18"/>
          <w:lang w:val="sr-Latn-RS"/>
        </w:rPr>
        <w:t>Opšti protokol</w:t>
      </w:r>
      <w:r w:rsidRPr="00BD3DCC">
        <w:rPr>
          <w:rFonts w:ascii="Book Antiqua" w:hAnsi="Book Antiqua"/>
          <w:sz w:val="18"/>
          <w:szCs w:val="18"/>
          <w:lang w:val="sr-Latn-RS"/>
        </w:rPr>
        <w:t xml:space="preserve"> o zaštiti dece od zlostavljanja i zanemarivanja</w:t>
      </w:r>
      <w:r w:rsidR="00BD3DCC" w:rsidRPr="00BD3DCC">
        <w:rPr>
          <w:rFonts w:ascii="Book Antiqua" w:hAnsi="Book Antiqua"/>
          <w:sz w:val="18"/>
          <w:szCs w:val="18"/>
          <w:lang w:val="sr-Latn-RS"/>
        </w:rPr>
        <w:t>, glava III</w:t>
      </w:r>
      <w:r>
        <w:rPr>
          <w:rFonts w:ascii="Book Antiqua" w:hAnsi="Book Antiqua"/>
          <w:lang w:val="sr-Latn-RS"/>
        </w:rPr>
        <w:t xml:space="preserve"> </w:t>
      </w:r>
    </w:p>
  </w:footnote>
  <w:footnote w:id="29">
    <w:p w:rsidR="002D7841" w:rsidRPr="002D7841" w:rsidRDefault="002D7841">
      <w:pPr>
        <w:pStyle w:val="FootnoteText"/>
        <w:rPr>
          <w:lang w:val="sr-Latn-RS"/>
        </w:rPr>
      </w:pPr>
      <w:r>
        <w:rPr>
          <w:rStyle w:val="FootnoteReference"/>
        </w:rPr>
        <w:footnoteRef/>
      </w:r>
      <w:r>
        <w:t xml:space="preserve"> </w:t>
      </w:r>
      <w:r w:rsidR="00BD3DCC" w:rsidRPr="0034156C">
        <w:rPr>
          <w:rFonts w:ascii="Book Antiqua" w:hAnsi="Book Antiqua"/>
          <w:sz w:val="18"/>
          <w:szCs w:val="18"/>
          <w:lang w:val="sr-Latn-RS"/>
        </w:rPr>
        <w:t>Porodični zakon</w:t>
      </w:r>
      <w:r w:rsidR="00BD3DCC">
        <w:rPr>
          <w:rFonts w:ascii="Book Antiqua" w:hAnsi="Book Antiqua"/>
          <w:sz w:val="18"/>
          <w:szCs w:val="18"/>
          <w:lang w:val="sr-Latn-RS"/>
        </w:rPr>
        <w:t>, čl.263, st.3</w:t>
      </w:r>
    </w:p>
  </w:footnote>
  <w:footnote w:id="30">
    <w:p w:rsidR="0001097C" w:rsidRPr="0001097C" w:rsidRDefault="0001097C">
      <w:pPr>
        <w:pStyle w:val="FootnoteText"/>
        <w:rPr>
          <w:lang w:val="sr-Latn-RS"/>
        </w:rPr>
      </w:pPr>
      <w:r>
        <w:rPr>
          <w:rStyle w:val="FootnoteReference"/>
        </w:rPr>
        <w:footnoteRef/>
      </w:r>
      <w:r>
        <w:t xml:space="preserve"> </w:t>
      </w:r>
      <w:r w:rsidRPr="004F032F">
        <w:rPr>
          <w:rFonts w:ascii="Book Antiqua" w:hAnsi="Book Antiqua"/>
          <w:sz w:val="18"/>
          <w:szCs w:val="18"/>
          <w:lang w:val="sr-Latn-RS"/>
        </w:rPr>
        <w:t>Kako do pravosuđa po meri deteta - Zaštita dece žrtava u krivičnim postupcima i stanje u praksi u Republici Srbiji,</w:t>
      </w:r>
      <w:r>
        <w:rPr>
          <w:rFonts w:ascii="Book Antiqua" w:hAnsi="Book Antiqua"/>
          <w:sz w:val="18"/>
          <w:szCs w:val="18"/>
          <w:lang w:val="sr-Latn-RS"/>
        </w:rPr>
        <w:t xml:space="preserve"> Centar za prava deteta, 2015, 32</w:t>
      </w:r>
      <w:r w:rsidRPr="004F032F">
        <w:rPr>
          <w:rFonts w:ascii="Book Antiqua" w:hAnsi="Book Antiqua"/>
          <w:sz w:val="18"/>
          <w:szCs w:val="18"/>
          <w:lang w:val="sr-Latn-RS"/>
        </w:rPr>
        <w:t>-35</w:t>
      </w:r>
    </w:p>
  </w:footnote>
  <w:footnote w:id="31">
    <w:p w:rsidR="00287FB2" w:rsidRPr="006514AC" w:rsidRDefault="00287FB2" w:rsidP="007C327E">
      <w:pPr>
        <w:pStyle w:val="FootnoteText"/>
        <w:jc w:val="both"/>
        <w:rPr>
          <w:rFonts w:ascii="Book Antiqua" w:hAnsi="Book Antiqua"/>
          <w:sz w:val="18"/>
          <w:szCs w:val="18"/>
          <w:lang w:val="sr-Latn-RS"/>
        </w:rPr>
      </w:pPr>
      <w:r w:rsidRPr="002E7BB0">
        <w:rPr>
          <w:rStyle w:val="FootnoteReference"/>
        </w:rPr>
        <w:footnoteRef/>
      </w:r>
      <w:r w:rsidRPr="002E7BB0">
        <w:t xml:space="preserve"> </w:t>
      </w:r>
      <w:r w:rsidR="002E7BB0" w:rsidRPr="002E7BB0">
        <w:rPr>
          <w:rFonts w:ascii="Book Antiqua" w:hAnsi="Book Antiqua"/>
          <w:sz w:val="18"/>
          <w:szCs w:val="18"/>
          <w:lang w:val="sr-Latn-RS"/>
        </w:rPr>
        <w:t>Zakon o potvrđivanju Konvencije Saveta Evrope o sprečavanju i borbi protiv nasilja nad ženama i nasilja u porodici</w:t>
      </w:r>
      <w:r w:rsidR="006C5338">
        <w:rPr>
          <w:rFonts w:ascii="Book Antiqua" w:hAnsi="Book Antiqua"/>
          <w:sz w:val="18"/>
          <w:szCs w:val="18"/>
          <w:lang w:val="sr-Latn-RS"/>
        </w:rPr>
        <w:t xml:space="preserve"> (</w:t>
      </w:r>
      <w:r w:rsidR="006C5338" w:rsidRPr="002E7BB0">
        <w:rPr>
          <w:rFonts w:ascii="Book Antiqua" w:hAnsi="Book Antiqua"/>
          <w:sz w:val="18"/>
          <w:szCs w:val="18"/>
          <w:lang w:val="sr-Latn-RS"/>
        </w:rPr>
        <w:t>"Sl. glasnik RS - Međunarodni ugovori", br. 12/2013</w:t>
      </w:r>
      <w:r w:rsidR="006C5338">
        <w:rPr>
          <w:rFonts w:ascii="Book Antiqua" w:hAnsi="Book Antiqua"/>
          <w:sz w:val="18"/>
          <w:szCs w:val="18"/>
          <w:lang w:val="sr-Latn-RS"/>
        </w:rPr>
        <w:t>),</w:t>
      </w:r>
      <w:r w:rsidR="002E7BB0" w:rsidRPr="002E7BB0">
        <w:rPr>
          <w:rFonts w:ascii="Book Antiqua" w:hAnsi="Book Antiqua"/>
          <w:sz w:val="18"/>
          <w:szCs w:val="18"/>
          <w:lang w:val="sr-Latn-RS"/>
        </w:rPr>
        <w:t xml:space="preserve"> </w:t>
      </w:r>
      <w:r w:rsidR="001662DA" w:rsidRPr="002E7BB0">
        <w:rPr>
          <w:rFonts w:ascii="Book Antiqua" w:hAnsi="Book Antiqua"/>
          <w:sz w:val="18"/>
          <w:szCs w:val="18"/>
          <w:lang w:val="sr-Latn-RS"/>
        </w:rPr>
        <w:t>čl 7</w:t>
      </w:r>
    </w:p>
  </w:footnote>
  <w:footnote w:id="32">
    <w:p w:rsidR="00F335B3" w:rsidRPr="006514AC" w:rsidRDefault="00F335B3" w:rsidP="007C327E">
      <w:pPr>
        <w:pStyle w:val="FootnoteText"/>
        <w:jc w:val="both"/>
        <w:rPr>
          <w:rFonts w:ascii="Book Antiqua" w:hAnsi="Book Antiqua"/>
          <w:sz w:val="18"/>
          <w:szCs w:val="18"/>
          <w:lang w:val="sr-Latn-RS"/>
        </w:rPr>
      </w:pPr>
      <w:r>
        <w:rPr>
          <w:rStyle w:val="FootnoteReference"/>
        </w:rPr>
        <w:footnoteRef/>
      </w:r>
      <w:r>
        <w:t xml:space="preserve"> </w:t>
      </w:r>
      <w:r w:rsidR="007D3A01" w:rsidRPr="000609EB">
        <w:rPr>
          <w:rFonts w:ascii="Book Antiqua" w:hAnsi="Book Antiqua"/>
          <w:sz w:val="18"/>
          <w:szCs w:val="18"/>
          <w:lang w:val="sr-Latn-RS"/>
        </w:rPr>
        <w:t xml:space="preserve">Postupanje institucija u slučajevima nasilja u porodici, </w:t>
      </w:r>
      <w:r w:rsidR="000609EB" w:rsidRPr="000609EB">
        <w:rPr>
          <w:rFonts w:ascii="Book Antiqua" w:hAnsi="Book Antiqua"/>
          <w:sz w:val="18"/>
          <w:szCs w:val="18"/>
          <w:lang w:val="sr-Latn-RS"/>
        </w:rPr>
        <w:t xml:space="preserve">Istraživanje Pokrajinskog zaštitnika građana AP Vojvodina, </w:t>
      </w:r>
      <w:r w:rsidR="007D3A01" w:rsidRPr="000609EB">
        <w:rPr>
          <w:rFonts w:ascii="Book Antiqua" w:hAnsi="Book Antiqua"/>
          <w:sz w:val="18"/>
          <w:szCs w:val="18"/>
          <w:lang w:val="sr-Latn-RS"/>
        </w:rPr>
        <w:t xml:space="preserve"> </w:t>
      </w:r>
      <w:hyperlink r:id="rId3" w:history="1">
        <w:r w:rsidR="000609EB" w:rsidRPr="000609EB">
          <w:rPr>
            <w:rFonts w:ascii="Book Antiqua" w:hAnsi="Book Antiqua"/>
            <w:sz w:val="18"/>
            <w:szCs w:val="18"/>
            <w:lang w:val="sr-Latn-RS"/>
          </w:rPr>
          <w:t>http://www.ombudsmanapv.org/riv/attachments/article/1850/Istrazivanje-2016-Nasilje%20u%20porodici%20i%20institucije.pdf</w:t>
        </w:r>
      </w:hyperlink>
      <w:r w:rsidR="000609EB">
        <w:rPr>
          <w:rFonts w:ascii="Book Antiqua" w:hAnsi="Book Antiqua"/>
          <w:sz w:val="18"/>
          <w:szCs w:val="18"/>
          <w:lang w:val="sr-Latn-RS"/>
        </w:rPr>
        <w:t xml:space="preserve"> , 24.11.2016.</w:t>
      </w:r>
    </w:p>
  </w:footnote>
  <w:footnote w:id="33">
    <w:p w:rsidR="00284F7E" w:rsidRPr="006514AC" w:rsidRDefault="00284F7E" w:rsidP="007C327E">
      <w:pPr>
        <w:spacing w:after="0"/>
        <w:jc w:val="both"/>
        <w:rPr>
          <w:rFonts w:ascii="Book Antiqua" w:hAnsi="Book Antiqua"/>
          <w:sz w:val="18"/>
          <w:szCs w:val="18"/>
          <w:lang w:val="sr-Latn-RS"/>
        </w:rPr>
      </w:pPr>
      <w:r>
        <w:rPr>
          <w:rStyle w:val="FootnoteReference"/>
        </w:rPr>
        <w:footnoteRef/>
      </w:r>
      <w:r>
        <w:t xml:space="preserve"> </w:t>
      </w:r>
      <w:r w:rsidRPr="006514AC">
        <w:rPr>
          <w:rFonts w:ascii="Book Antiqua" w:hAnsi="Book Antiqua"/>
          <w:sz w:val="18"/>
          <w:szCs w:val="18"/>
          <w:lang w:val="sr-Latn-RS"/>
        </w:rPr>
        <w:t>Konvencija o sprečavanju i borbi proti</w:t>
      </w:r>
      <w:r w:rsidR="000609EB">
        <w:rPr>
          <w:rFonts w:ascii="Book Antiqua" w:hAnsi="Book Antiqua"/>
          <w:sz w:val="18"/>
          <w:szCs w:val="18"/>
          <w:lang w:val="sr-Latn-RS"/>
        </w:rPr>
        <w:t>v nasilja nad ženama i nasilja u porodici</w:t>
      </w:r>
      <w:r w:rsidRPr="006514AC">
        <w:rPr>
          <w:rFonts w:ascii="Book Antiqua" w:hAnsi="Book Antiqua"/>
          <w:sz w:val="18"/>
          <w:szCs w:val="18"/>
          <w:lang w:val="sr-Latn-RS"/>
        </w:rPr>
        <w:t xml:space="preserve"> </w:t>
      </w:r>
    </w:p>
  </w:footnote>
  <w:footnote w:id="34">
    <w:p w:rsidR="00284F7E" w:rsidRPr="006514AC" w:rsidRDefault="00284F7E" w:rsidP="007C327E">
      <w:pPr>
        <w:pStyle w:val="FootnoteText"/>
        <w:jc w:val="both"/>
        <w:rPr>
          <w:rFonts w:ascii="Book Antiqua" w:hAnsi="Book Antiqua"/>
          <w:sz w:val="18"/>
          <w:szCs w:val="18"/>
          <w:lang w:val="sr-Latn-RS"/>
        </w:rPr>
      </w:pPr>
      <w:r>
        <w:rPr>
          <w:rStyle w:val="FootnoteReference"/>
        </w:rPr>
        <w:footnoteRef/>
      </w:r>
      <w:r>
        <w:t xml:space="preserve"> </w:t>
      </w:r>
      <w:r w:rsidRPr="006514AC">
        <w:rPr>
          <w:rFonts w:ascii="Book Antiqua" w:hAnsi="Book Antiqua"/>
          <w:sz w:val="18"/>
          <w:szCs w:val="18"/>
          <w:lang w:val="sr-Latn-RS"/>
        </w:rPr>
        <w:t>Konvencija o sprečavanju i borbi protiv nasilja nad ženama i nasilja u porodici, čl 16</w:t>
      </w:r>
    </w:p>
  </w:footnote>
  <w:footnote w:id="35">
    <w:p w:rsidR="00284F7E" w:rsidRPr="006514AC" w:rsidRDefault="00284F7E" w:rsidP="007C327E">
      <w:pPr>
        <w:pStyle w:val="FootnoteText"/>
        <w:jc w:val="both"/>
        <w:rPr>
          <w:rFonts w:ascii="Book Antiqua" w:hAnsi="Book Antiqua"/>
          <w:sz w:val="18"/>
          <w:szCs w:val="18"/>
          <w:lang w:val="sr-Latn-RS"/>
        </w:rPr>
      </w:pPr>
      <w:r>
        <w:rPr>
          <w:rStyle w:val="FootnoteReference"/>
        </w:rPr>
        <w:footnoteRef/>
      </w:r>
      <w:r>
        <w:t xml:space="preserve"> </w:t>
      </w:r>
      <w:r w:rsidRPr="006514AC">
        <w:rPr>
          <w:rFonts w:ascii="Book Antiqua" w:hAnsi="Book Antiqua"/>
          <w:sz w:val="18"/>
          <w:szCs w:val="18"/>
          <w:lang w:val="sr-Latn-RS"/>
        </w:rPr>
        <w:t>Preporuka Komiteta ministara Saveta Evrope o socijalnim merama iz 1990</w:t>
      </w:r>
    </w:p>
  </w:footnote>
  <w:footnote w:id="36">
    <w:p w:rsidR="00284F7E" w:rsidRPr="006514AC" w:rsidRDefault="00284F7E" w:rsidP="007C327E">
      <w:pPr>
        <w:pStyle w:val="FootnoteText"/>
        <w:jc w:val="both"/>
        <w:rPr>
          <w:rFonts w:ascii="Book Antiqua" w:hAnsi="Book Antiqua"/>
          <w:sz w:val="18"/>
          <w:szCs w:val="18"/>
          <w:lang w:val="sr-Latn-RS"/>
        </w:rPr>
      </w:pPr>
      <w:r>
        <w:rPr>
          <w:rStyle w:val="FootnoteReference"/>
        </w:rPr>
        <w:footnoteRef/>
      </w:r>
      <w:r>
        <w:t xml:space="preserve"> </w:t>
      </w:r>
      <w:r w:rsidRPr="006514AC">
        <w:rPr>
          <w:rFonts w:ascii="Book Antiqua" w:hAnsi="Book Antiqua"/>
          <w:sz w:val="18"/>
          <w:szCs w:val="18"/>
          <w:lang w:val="sr-Latn-RS"/>
        </w:rPr>
        <w:t>Preporuka Komiteta ministara Saveta Evrope o zaštiti žena od nasilja iz 2002</w:t>
      </w:r>
    </w:p>
  </w:footnote>
  <w:footnote w:id="37">
    <w:p w:rsidR="00F72EFF" w:rsidRPr="007C327E" w:rsidRDefault="00F72EFF" w:rsidP="007C327E">
      <w:pPr>
        <w:pStyle w:val="FootnoteText"/>
        <w:jc w:val="both"/>
        <w:rPr>
          <w:rFonts w:ascii="Book Antiqua" w:hAnsi="Book Antiqua"/>
          <w:sz w:val="18"/>
          <w:szCs w:val="18"/>
          <w:lang w:val="sr-Latn-RS"/>
        </w:rPr>
      </w:pPr>
      <w:r w:rsidRPr="007C327E">
        <w:rPr>
          <w:rStyle w:val="FootnoteReference"/>
        </w:rPr>
        <w:footnoteRef/>
      </w:r>
      <w:r w:rsidRPr="007C327E">
        <w:t xml:space="preserve"> </w:t>
      </w:r>
      <w:r w:rsidR="007C327E" w:rsidRPr="007C327E">
        <w:rPr>
          <w:rFonts w:ascii="Book Antiqua" w:hAnsi="Book Antiqua"/>
          <w:sz w:val="18"/>
          <w:szCs w:val="18"/>
          <w:lang w:val="sr-Latn-RS"/>
        </w:rPr>
        <w:t xml:space="preserve">Akcioni plan za poglavlje 23, Pregovaračka grupa za poglavlje 23, septembar 2015, </w:t>
      </w:r>
      <w:hyperlink r:id="rId4" w:history="1">
        <w:r w:rsidR="007C327E" w:rsidRPr="007C327E">
          <w:rPr>
            <w:rFonts w:ascii="Book Antiqua" w:hAnsi="Book Antiqua"/>
            <w:sz w:val="18"/>
            <w:szCs w:val="18"/>
            <w:lang w:val="sr-Latn-RS"/>
          </w:rPr>
          <w:t>http://www.mpravde.gov.rs/files/Akcioni%20plan%20PG%2023%20Treci%20nacrt-%20Konacna%20verzija1.pdf</w:t>
        </w:r>
      </w:hyperlink>
      <w:r w:rsidR="007C327E" w:rsidRPr="007C327E">
        <w:rPr>
          <w:rFonts w:ascii="Book Antiqua" w:hAnsi="Book Antiqua"/>
          <w:sz w:val="18"/>
          <w:szCs w:val="18"/>
          <w:lang w:val="sr-Latn-RS"/>
        </w:rPr>
        <w:t>, 26.11.2016.</w:t>
      </w:r>
    </w:p>
  </w:footnote>
  <w:footnote w:id="38">
    <w:p w:rsidR="006A5C5B" w:rsidRPr="006514AC" w:rsidRDefault="006A5C5B" w:rsidP="007C327E">
      <w:pPr>
        <w:pStyle w:val="FootnoteText"/>
        <w:jc w:val="both"/>
        <w:rPr>
          <w:rFonts w:ascii="Book Antiqua" w:hAnsi="Book Antiqua"/>
          <w:sz w:val="18"/>
          <w:szCs w:val="18"/>
          <w:lang w:val="sr-Latn-RS"/>
        </w:rPr>
      </w:pPr>
      <w:r>
        <w:rPr>
          <w:rStyle w:val="FootnoteReference"/>
        </w:rPr>
        <w:footnoteRef/>
      </w:r>
      <w:r>
        <w:t xml:space="preserve"> </w:t>
      </w:r>
      <w:r w:rsidRPr="006514AC">
        <w:rPr>
          <w:rFonts w:ascii="Book Antiqua" w:hAnsi="Book Antiqua"/>
          <w:sz w:val="18"/>
          <w:szCs w:val="18"/>
          <w:lang w:val="sr-Latn-RS"/>
        </w:rPr>
        <w:t>Konvencija o pravima deteta, čl 19. st.1</w:t>
      </w:r>
    </w:p>
  </w:footnote>
  <w:footnote w:id="39">
    <w:p w:rsidR="006A5C5B" w:rsidRPr="006514AC" w:rsidRDefault="006A5C5B" w:rsidP="007C327E">
      <w:pPr>
        <w:pStyle w:val="FootnoteText"/>
        <w:jc w:val="both"/>
        <w:rPr>
          <w:rFonts w:ascii="Book Antiqua" w:hAnsi="Book Antiqua"/>
          <w:sz w:val="18"/>
          <w:szCs w:val="18"/>
          <w:lang w:val="sr-Latn-RS"/>
        </w:rPr>
      </w:pPr>
      <w:r>
        <w:rPr>
          <w:rStyle w:val="FootnoteReference"/>
        </w:rPr>
        <w:footnoteRef/>
      </w:r>
      <w:r>
        <w:t xml:space="preserve"> </w:t>
      </w:r>
      <w:r w:rsidRPr="006514AC">
        <w:rPr>
          <w:rFonts w:ascii="Book Antiqua" w:hAnsi="Book Antiqua"/>
          <w:sz w:val="18"/>
          <w:szCs w:val="18"/>
          <w:lang w:val="sr-Latn-RS"/>
        </w:rPr>
        <w:t>Konvencija o pravima deteta, čl 19. st.2</w:t>
      </w:r>
    </w:p>
  </w:footnote>
  <w:footnote w:id="40">
    <w:p w:rsidR="006A5C5B" w:rsidRPr="006514AC" w:rsidRDefault="006A5C5B" w:rsidP="007C327E">
      <w:pPr>
        <w:pStyle w:val="FootnoteText"/>
        <w:jc w:val="both"/>
        <w:rPr>
          <w:rFonts w:ascii="Book Antiqua" w:hAnsi="Book Antiqua"/>
          <w:sz w:val="18"/>
          <w:szCs w:val="18"/>
          <w:lang w:val="sr-Latn-RS"/>
        </w:rPr>
      </w:pPr>
      <w:r>
        <w:rPr>
          <w:rStyle w:val="FootnoteReference"/>
        </w:rPr>
        <w:footnoteRef/>
      </w:r>
      <w:r>
        <w:t xml:space="preserve"> </w:t>
      </w:r>
      <w:r w:rsidRPr="006514AC">
        <w:rPr>
          <w:rFonts w:ascii="Book Antiqua" w:hAnsi="Book Antiqua"/>
          <w:sz w:val="18"/>
          <w:szCs w:val="18"/>
          <w:lang w:val="sr-Latn-RS"/>
        </w:rPr>
        <w:t>Ustav Republike Srbije ("Sl. glasnik RS", br. 98/2006), čl 64, st 1-4</w:t>
      </w:r>
    </w:p>
  </w:footnote>
  <w:footnote w:id="41">
    <w:p w:rsidR="006A5C5B" w:rsidRPr="006514AC" w:rsidRDefault="006A5C5B" w:rsidP="007C327E">
      <w:pPr>
        <w:pStyle w:val="FootnoteText"/>
        <w:jc w:val="both"/>
        <w:rPr>
          <w:rFonts w:ascii="Book Antiqua" w:hAnsi="Book Antiqua"/>
          <w:sz w:val="18"/>
          <w:szCs w:val="18"/>
          <w:lang w:val="sr-Latn-RS"/>
        </w:rPr>
      </w:pPr>
      <w:r>
        <w:rPr>
          <w:rStyle w:val="FootnoteReference"/>
        </w:rPr>
        <w:footnoteRef/>
      </w:r>
      <w:r>
        <w:t xml:space="preserve"> </w:t>
      </w:r>
      <w:r w:rsidRPr="006514AC">
        <w:rPr>
          <w:rFonts w:ascii="Book Antiqua" w:hAnsi="Book Antiqua"/>
          <w:sz w:val="18"/>
          <w:szCs w:val="18"/>
          <w:lang w:val="sr-Latn-RS"/>
        </w:rPr>
        <w:t>Ustav Republike Srbije, čl 64, st 5</w:t>
      </w:r>
    </w:p>
  </w:footnote>
  <w:footnote w:id="42">
    <w:p w:rsidR="006A5C5B" w:rsidRPr="006514AC" w:rsidRDefault="006A5C5B" w:rsidP="007C327E">
      <w:pPr>
        <w:pStyle w:val="FootnoteText"/>
        <w:jc w:val="both"/>
        <w:rPr>
          <w:rFonts w:ascii="Book Antiqua" w:hAnsi="Book Antiqua"/>
          <w:sz w:val="18"/>
          <w:szCs w:val="18"/>
          <w:lang w:val="sr-Latn-RS"/>
        </w:rPr>
      </w:pPr>
      <w:r>
        <w:rPr>
          <w:rStyle w:val="FootnoteReference"/>
        </w:rPr>
        <w:footnoteRef/>
      </w:r>
      <w:r>
        <w:t xml:space="preserve"> </w:t>
      </w:r>
      <w:r w:rsidRPr="006514AC">
        <w:rPr>
          <w:rFonts w:ascii="Book Antiqua" w:hAnsi="Book Antiqua"/>
          <w:sz w:val="18"/>
          <w:szCs w:val="18"/>
          <w:lang w:val="sr-Latn-RS"/>
        </w:rPr>
        <w:t>Porodični zakon, čl 1</w:t>
      </w:r>
    </w:p>
  </w:footnote>
  <w:footnote w:id="43">
    <w:p w:rsidR="006A5C5B" w:rsidRPr="006514AC" w:rsidRDefault="006A5C5B" w:rsidP="007C327E">
      <w:pPr>
        <w:pStyle w:val="FootnoteText"/>
        <w:jc w:val="both"/>
        <w:rPr>
          <w:rFonts w:ascii="Book Antiqua" w:hAnsi="Book Antiqua"/>
          <w:sz w:val="18"/>
          <w:szCs w:val="18"/>
          <w:lang w:val="sr-Latn-RS"/>
        </w:rPr>
      </w:pPr>
      <w:r>
        <w:rPr>
          <w:rStyle w:val="FootnoteReference"/>
        </w:rPr>
        <w:footnoteRef/>
      </w:r>
      <w:r>
        <w:t xml:space="preserve"> </w:t>
      </w:r>
      <w:r w:rsidRPr="006514AC">
        <w:rPr>
          <w:rFonts w:ascii="Book Antiqua" w:hAnsi="Book Antiqua"/>
          <w:sz w:val="18"/>
          <w:szCs w:val="18"/>
          <w:lang w:val="sr-Latn-RS"/>
        </w:rPr>
        <w:t>Porodični zakon, čl 6</w:t>
      </w:r>
    </w:p>
  </w:footnote>
  <w:footnote w:id="44">
    <w:p w:rsidR="00CE1653" w:rsidRPr="006514AC" w:rsidRDefault="00CE1653" w:rsidP="007C327E">
      <w:pPr>
        <w:pStyle w:val="FootnoteText"/>
        <w:jc w:val="both"/>
        <w:rPr>
          <w:rFonts w:ascii="Book Antiqua" w:hAnsi="Book Antiqua"/>
          <w:sz w:val="18"/>
          <w:szCs w:val="18"/>
          <w:lang w:val="sr-Latn-RS"/>
        </w:rPr>
      </w:pPr>
      <w:r>
        <w:rPr>
          <w:rStyle w:val="FootnoteReference"/>
        </w:rPr>
        <w:footnoteRef/>
      </w:r>
      <w:r>
        <w:t xml:space="preserve"> </w:t>
      </w:r>
      <w:r w:rsidRPr="006514AC">
        <w:rPr>
          <w:rFonts w:ascii="Book Antiqua" w:hAnsi="Book Antiqua"/>
          <w:sz w:val="18"/>
          <w:szCs w:val="18"/>
          <w:lang w:val="sr-Latn-RS"/>
        </w:rPr>
        <w:t>Porodični zakon, čl 266</w:t>
      </w:r>
    </w:p>
  </w:footnote>
  <w:footnote w:id="45">
    <w:p w:rsidR="00CE1653" w:rsidRPr="006514AC" w:rsidRDefault="00CE1653" w:rsidP="007C327E">
      <w:pPr>
        <w:pStyle w:val="FootnoteText"/>
        <w:jc w:val="both"/>
        <w:rPr>
          <w:rFonts w:ascii="Book Antiqua" w:hAnsi="Book Antiqua"/>
          <w:sz w:val="18"/>
          <w:szCs w:val="18"/>
          <w:lang w:val="sr-Latn-RS"/>
        </w:rPr>
      </w:pPr>
      <w:r>
        <w:rPr>
          <w:rStyle w:val="FootnoteReference"/>
        </w:rPr>
        <w:footnoteRef/>
      </w:r>
      <w:r>
        <w:t xml:space="preserve"> </w:t>
      </w:r>
      <w:r w:rsidRPr="006514AC">
        <w:rPr>
          <w:rFonts w:ascii="Book Antiqua" w:hAnsi="Book Antiqua"/>
          <w:sz w:val="18"/>
          <w:szCs w:val="18"/>
          <w:lang w:val="sr-Latn-RS"/>
        </w:rPr>
        <w:t>Porodični zakon, čl 75, st 2</w:t>
      </w:r>
    </w:p>
  </w:footnote>
  <w:footnote w:id="46">
    <w:p w:rsidR="00A10785" w:rsidRPr="006514AC" w:rsidRDefault="00A10785" w:rsidP="007C327E">
      <w:pPr>
        <w:pStyle w:val="FootnoteText"/>
        <w:jc w:val="both"/>
        <w:rPr>
          <w:rFonts w:ascii="Book Antiqua" w:hAnsi="Book Antiqua"/>
          <w:sz w:val="18"/>
          <w:szCs w:val="18"/>
          <w:lang w:val="sr-Latn-RS"/>
        </w:rPr>
      </w:pPr>
      <w:r>
        <w:rPr>
          <w:rStyle w:val="FootnoteReference"/>
        </w:rPr>
        <w:footnoteRef/>
      </w:r>
      <w:r>
        <w:t xml:space="preserve"> </w:t>
      </w:r>
      <w:r w:rsidRPr="006514AC">
        <w:rPr>
          <w:rFonts w:ascii="Book Antiqua" w:hAnsi="Book Antiqua"/>
          <w:sz w:val="18"/>
          <w:szCs w:val="18"/>
          <w:lang w:val="sr-Latn-RS"/>
        </w:rPr>
        <w:t xml:space="preserve">Porodični zakon, čl 60, st 2 </w:t>
      </w:r>
    </w:p>
  </w:footnote>
  <w:footnote w:id="47">
    <w:p w:rsidR="00A10785" w:rsidRPr="006514AC" w:rsidRDefault="00A10785" w:rsidP="007C327E">
      <w:pPr>
        <w:pStyle w:val="FootnoteText"/>
        <w:jc w:val="both"/>
        <w:rPr>
          <w:rFonts w:ascii="Book Antiqua" w:hAnsi="Book Antiqua"/>
          <w:sz w:val="18"/>
          <w:szCs w:val="18"/>
          <w:lang w:val="sr-Latn-RS"/>
        </w:rPr>
      </w:pPr>
      <w:r>
        <w:rPr>
          <w:rStyle w:val="FootnoteReference"/>
        </w:rPr>
        <w:footnoteRef/>
      </w:r>
      <w:r>
        <w:t xml:space="preserve"> </w:t>
      </w:r>
      <w:r w:rsidRPr="006514AC">
        <w:rPr>
          <w:rFonts w:ascii="Book Antiqua" w:hAnsi="Book Antiqua"/>
          <w:sz w:val="18"/>
          <w:szCs w:val="18"/>
          <w:lang w:val="sr-Latn-RS"/>
        </w:rPr>
        <w:t>Porodični zakon, čl 61, st 2</w:t>
      </w:r>
    </w:p>
  </w:footnote>
  <w:footnote w:id="48">
    <w:p w:rsidR="00A10785" w:rsidRPr="006514AC" w:rsidRDefault="00A10785" w:rsidP="007C327E">
      <w:pPr>
        <w:pStyle w:val="FootnoteText"/>
        <w:jc w:val="both"/>
        <w:rPr>
          <w:rFonts w:ascii="Book Antiqua" w:hAnsi="Book Antiqua"/>
          <w:sz w:val="18"/>
          <w:szCs w:val="18"/>
          <w:lang w:val="sr-Latn-RS"/>
        </w:rPr>
      </w:pPr>
      <w:r>
        <w:rPr>
          <w:rStyle w:val="FootnoteReference"/>
        </w:rPr>
        <w:footnoteRef/>
      </w:r>
      <w:r>
        <w:t xml:space="preserve"> </w:t>
      </w:r>
      <w:r w:rsidRPr="006514AC">
        <w:rPr>
          <w:rFonts w:ascii="Book Antiqua" w:hAnsi="Book Antiqua"/>
          <w:sz w:val="18"/>
          <w:szCs w:val="18"/>
          <w:lang w:val="sr-Latn-RS"/>
        </w:rPr>
        <w:t>Porodični zakon, čl 89</w:t>
      </w:r>
    </w:p>
  </w:footnote>
  <w:footnote w:id="49">
    <w:p w:rsidR="00A10785" w:rsidRPr="006514AC" w:rsidRDefault="00A10785" w:rsidP="007C327E">
      <w:pPr>
        <w:pStyle w:val="FootnoteText"/>
        <w:jc w:val="both"/>
        <w:rPr>
          <w:rFonts w:ascii="Book Antiqua" w:hAnsi="Book Antiqua"/>
          <w:sz w:val="18"/>
          <w:szCs w:val="18"/>
          <w:lang w:val="sr-Latn-RS"/>
        </w:rPr>
      </w:pPr>
      <w:r>
        <w:rPr>
          <w:rStyle w:val="FootnoteReference"/>
        </w:rPr>
        <w:footnoteRef/>
      </w:r>
      <w:r>
        <w:t xml:space="preserve"> </w:t>
      </w:r>
      <w:r w:rsidRPr="006514AC">
        <w:rPr>
          <w:rFonts w:ascii="Book Antiqua" w:hAnsi="Book Antiqua"/>
          <w:sz w:val="18"/>
          <w:szCs w:val="18"/>
          <w:lang w:val="sr-Latn-RS"/>
        </w:rPr>
        <w:t>Porodični zakon, čl 103, st 3</w:t>
      </w:r>
    </w:p>
  </w:footnote>
  <w:footnote w:id="50">
    <w:p w:rsidR="00A10785" w:rsidRPr="006514AC" w:rsidRDefault="00A10785" w:rsidP="007C327E">
      <w:pPr>
        <w:pStyle w:val="FootnoteText"/>
        <w:jc w:val="both"/>
        <w:rPr>
          <w:rFonts w:ascii="Book Antiqua" w:hAnsi="Book Antiqua"/>
          <w:sz w:val="18"/>
          <w:szCs w:val="18"/>
          <w:lang w:val="sr-Latn-RS"/>
        </w:rPr>
      </w:pPr>
      <w:r>
        <w:rPr>
          <w:rStyle w:val="FootnoteReference"/>
        </w:rPr>
        <w:footnoteRef/>
      </w:r>
      <w:r>
        <w:t xml:space="preserve"> </w:t>
      </w:r>
      <w:r w:rsidRPr="006514AC">
        <w:rPr>
          <w:rFonts w:ascii="Book Antiqua" w:hAnsi="Book Antiqua"/>
          <w:sz w:val="18"/>
          <w:szCs w:val="18"/>
          <w:lang w:val="sr-Latn-RS"/>
        </w:rPr>
        <w:t>Porodični zakon, čl 111 i čl 122, st 3</w:t>
      </w:r>
    </w:p>
  </w:footnote>
  <w:footnote w:id="51">
    <w:p w:rsidR="00A10785" w:rsidRPr="006514AC" w:rsidRDefault="00A10785" w:rsidP="007C327E">
      <w:pPr>
        <w:pStyle w:val="FootnoteText"/>
        <w:jc w:val="both"/>
        <w:rPr>
          <w:rFonts w:ascii="Book Antiqua" w:hAnsi="Book Antiqua"/>
          <w:sz w:val="18"/>
          <w:szCs w:val="18"/>
          <w:lang w:val="sr-Latn-RS"/>
        </w:rPr>
      </w:pPr>
      <w:r>
        <w:rPr>
          <w:rStyle w:val="FootnoteReference"/>
        </w:rPr>
        <w:footnoteRef/>
      </w:r>
      <w:r>
        <w:t xml:space="preserve"> </w:t>
      </w:r>
      <w:r w:rsidRPr="006514AC">
        <w:rPr>
          <w:rFonts w:ascii="Book Antiqua" w:hAnsi="Book Antiqua"/>
          <w:sz w:val="18"/>
          <w:szCs w:val="18"/>
          <w:lang w:val="sr-Latn-RS"/>
        </w:rPr>
        <w:t>Porodični zakon, čl 129</w:t>
      </w:r>
    </w:p>
  </w:footnote>
  <w:footnote w:id="52">
    <w:p w:rsidR="006A5C5B" w:rsidRPr="006514AC" w:rsidRDefault="006A5C5B" w:rsidP="007C327E">
      <w:pPr>
        <w:pStyle w:val="FootnoteText"/>
        <w:jc w:val="both"/>
        <w:rPr>
          <w:rFonts w:ascii="Book Antiqua" w:hAnsi="Book Antiqua"/>
          <w:sz w:val="18"/>
          <w:szCs w:val="18"/>
          <w:lang w:val="sr-Latn-RS"/>
        </w:rPr>
      </w:pPr>
      <w:r>
        <w:rPr>
          <w:rStyle w:val="FootnoteReference"/>
        </w:rPr>
        <w:footnoteRef/>
      </w:r>
      <w:r>
        <w:t xml:space="preserve"> </w:t>
      </w:r>
      <w:r w:rsidRPr="006514AC">
        <w:rPr>
          <w:rFonts w:ascii="Book Antiqua" w:hAnsi="Book Antiqua"/>
          <w:sz w:val="18"/>
          <w:szCs w:val="18"/>
          <w:lang w:val="sr-Latn-RS"/>
        </w:rPr>
        <w:t>Porodični zakon, čl 10</w:t>
      </w:r>
    </w:p>
  </w:footnote>
  <w:footnote w:id="53">
    <w:p w:rsidR="006A5C5B" w:rsidRPr="006514AC" w:rsidRDefault="006A5C5B" w:rsidP="007C327E">
      <w:pPr>
        <w:pStyle w:val="FootnoteText"/>
        <w:jc w:val="both"/>
        <w:rPr>
          <w:rFonts w:ascii="Book Antiqua" w:hAnsi="Book Antiqua"/>
          <w:sz w:val="18"/>
          <w:szCs w:val="18"/>
          <w:lang w:val="sr-Latn-RS"/>
        </w:rPr>
      </w:pPr>
      <w:r>
        <w:rPr>
          <w:rStyle w:val="FootnoteReference"/>
        </w:rPr>
        <w:footnoteRef/>
      </w:r>
      <w:r>
        <w:t xml:space="preserve"> </w:t>
      </w:r>
      <w:r w:rsidRPr="006514AC">
        <w:rPr>
          <w:rFonts w:ascii="Book Antiqua" w:hAnsi="Book Antiqua"/>
          <w:sz w:val="18"/>
          <w:szCs w:val="18"/>
          <w:lang w:val="sr-Latn-RS"/>
        </w:rPr>
        <w:t>Porodični zakon, čl 197, st 1</w:t>
      </w:r>
    </w:p>
  </w:footnote>
  <w:footnote w:id="54">
    <w:p w:rsidR="006A5C5B" w:rsidRPr="006514AC" w:rsidRDefault="006A5C5B" w:rsidP="007C327E">
      <w:pPr>
        <w:pStyle w:val="FootnoteText"/>
        <w:jc w:val="both"/>
        <w:rPr>
          <w:rFonts w:ascii="Book Antiqua" w:hAnsi="Book Antiqua"/>
          <w:sz w:val="18"/>
          <w:szCs w:val="18"/>
          <w:lang w:val="sr-Latn-RS"/>
        </w:rPr>
      </w:pPr>
      <w:r>
        <w:rPr>
          <w:rStyle w:val="FootnoteReference"/>
        </w:rPr>
        <w:footnoteRef/>
      </w:r>
      <w:r>
        <w:t xml:space="preserve"> </w:t>
      </w:r>
      <w:r w:rsidRPr="006514AC">
        <w:rPr>
          <w:rFonts w:ascii="Book Antiqua" w:hAnsi="Book Antiqua"/>
          <w:sz w:val="18"/>
          <w:szCs w:val="18"/>
          <w:lang w:val="sr-Latn-RS"/>
        </w:rPr>
        <w:t>Porodični zakon, čl 197, st 2</w:t>
      </w:r>
    </w:p>
  </w:footnote>
  <w:footnote w:id="55">
    <w:p w:rsidR="006A5C5B" w:rsidRPr="00D61F9F" w:rsidRDefault="006A5C5B" w:rsidP="007C327E">
      <w:pPr>
        <w:pStyle w:val="FootnoteText"/>
        <w:jc w:val="both"/>
        <w:rPr>
          <w:lang w:val="sr-Latn-RS"/>
        </w:rPr>
      </w:pPr>
      <w:r>
        <w:rPr>
          <w:rStyle w:val="FootnoteReference"/>
        </w:rPr>
        <w:footnoteRef/>
      </w:r>
      <w:r>
        <w:t xml:space="preserve"> </w:t>
      </w:r>
      <w:r w:rsidRPr="006514AC">
        <w:rPr>
          <w:rFonts w:ascii="Book Antiqua" w:hAnsi="Book Antiqua"/>
          <w:sz w:val="18"/>
          <w:szCs w:val="18"/>
          <w:lang w:val="sr-Latn-RS"/>
        </w:rPr>
        <w:t>Porodični zakon, čl 197, st 3</w:t>
      </w:r>
    </w:p>
  </w:footnote>
  <w:footnote w:id="56">
    <w:p w:rsidR="006A5C5B" w:rsidRPr="006514AC" w:rsidRDefault="006A5C5B" w:rsidP="007C327E">
      <w:pPr>
        <w:pStyle w:val="FootnoteText"/>
        <w:jc w:val="both"/>
        <w:rPr>
          <w:rFonts w:ascii="Book Antiqua" w:hAnsi="Book Antiqua"/>
          <w:sz w:val="18"/>
          <w:szCs w:val="18"/>
          <w:lang w:val="sr-Latn-RS"/>
        </w:rPr>
      </w:pPr>
      <w:r>
        <w:rPr>
          <w:rStyle w:val="FootnoteReference"/>
        </w:rPr>
        <w:footnoteRef/>
      </w:r>
      <w:r>
        <w:t xml:space="preserve"> </w:t>
      </w:r>
      <w:r w:rsidRPr="006514AC">
        <w:rPr>
          <w:rFonts w:ascii="Book Antiqua" w:hAnsi="Book Antiqua"/>
          <w:sz w:val="18"/>
          <w:szCs w:val="18"/>
          <w:lang w:val="sr-Latn-RS"/>
        </w:rPr>
        <w:t>Porodični zakon, čl 198</w:t>
      </w:r>
    </w:p>
  </w:footnote>
  <w:footnote w:id="57">
    <w:p w:rsidR="00EA3974" w:rsidRPr="007C1780" w:rsidRDefault="00EA3974" w:rsidP="00EA3974">
      <w:pPr>
        <w:pStyle w:val="FootnoteText"/>
        <w:rPr>
          <w:rFonts w:ascii="Book Antiqua" w:hAnsi="Book Antiqua"/>
          <w:sz w:val="18"/>
          <w:szCs w:val="18"/>
          <w:lang w:val="sr-Latn-RS"/>
        </w:rPr>
      </w:pPr>
      <w:r>
        <w:rPr>
          <w:rStyle w:val="FootnoteReference"/>
        </w:rPr>
        <w:footnoteRef/>
      </w:r>
      <w:r>
        <w:t xml:space="preserve"> </w:t>
      </w:r>
      <w:r w:rsidRPr="007C1780">
        <w:rPr>
          <w:rFonts w:ascii="Book Antiqua" w:hAnsi="Book Antiqua"/>
          <w:sz w:val="18"/>
          <w:szCs w:val="18"/>
          <w:lang w:val="sr-Latn-RS"/>
        </w:rPr>
        <w:t>Sentenca iz presude Vrhovnog kasacionog suda Rev 2857/10, od 09.06.2010.godine, utvrđena na sednici Građanskog odeljenja 13.09.2010.godine</w:t>
      </w:r>
    </w:p>
  </w:footnote>
  <w:footnote w:id="58">
    <w:p w:rsidR="000D715C" w:rsidRPr="000D715C" w:rsidRDefault="000D715C">
      <w:pPr>
        <w:pStyle w:val="FootnoteText"/>
        <w:rPr>
          <w:lang w:val="sr-Latn-RS"/>
        </w:rPr>
      </w:pPr>
      <w:r>
        <w:rPr>
          <w:rStyle w:val="FootnoteReference"/>
        </w:rPr>
        <w:footnoteRef/>
      </w:r>
      <w:r>
        <w:t xml:space="preserve"> </w:t>
      </w:r>
      <w:r w:rsidRPr="00566AD5">
        <w:rPr>
          <w:rFonts w:ascii="Book Antiqua" w:hAnsi="Book Antiqua"/>
          <w:sz w:val="18"/>
          <w:szCs w:val="18"/>
          <w:lang w:val="sr-Latn-RS"/>
        </w:rPr>
        <w:t>Presuda Vrhovnog kasacionog suda, Rev</w:t>
      </w:r>
      <w:r>
        <w:rPr>
          <w:rFonts w:ascii="Book Antiqua" w:hAnsi="Book Antiqua"/>
          <w:sz w:val="18"/>
          <w:szCs w:val="18"/>
          <w:lang w:val="sr-Latn-RS"/>
        </w:rPr>
        <w:t xml:space="preserve"> 1884/2015, od 10.12.2016.godine</w:t>
      </w:r>
    </w:p>
  </w:footnote>
  <w:footnote w:id="59">
    <w:p w:rsidR="0088491E" w:rsidRPr="0014310B" w:rsidRDefault="0088491E" w:rsidP="0088491E">
      <w:pPr>
        <w:pStyle w:val="FootnoteText"/>
        <w:rPr>
          <w:lang w:val="sr-Latn-RS"/>
        </w:rPr>
      </w:pPr>
      <w:r>
        <w:rPr>
          <w:rStyle w:val="FootnoteReference"/>
        </w:rPr>
        <w:footnoteRef/>
      </w:r>
      <w:r>
        <w:t xml:space="preserve"> </w:t>
      </w:r>
      <w:r w:rsidRPr="0014310B">
        <w:rPr>
          <w:rFonts w:ascii="Book Antiqua" w:hAnsi="Book Antiqua"/>
          <w:sz w:val="18"/>
          <w:szCs w:val="18"/>
          <w:lang w:val="sr-Latn-RS"/>
        </w:rPr>
        <w:t>Presuda Apelacionog suda u Beogradu, Gž2 422/2014, od 25.07.2014.godine</w:t>
      </w:r>
    </w:p>
  </w:footnote>
  <w:footnote w:id="60">
    <w:p w:rsidR="0088491E" w:rsidRPr="0014310B" w:rsidRDefault="0088491E" w:rsidP="0088491E">
      <w:pPr>
        <w:pStyle w:val="FootnoteText"/>
        <w:rPr>
          <w:lang w:val="sr-Latn-RS"/>
        </w:rPr>
      </w:pPr>
      <w:r>
        <w:rPr>
          <w:rStyle w:val="FootnoteReference"/>
        </w:rPr>
        <w:footnoteRef/>
      </w:r>
      <w:r>
        <w:t xml:space="preserve"> </w:t>
      </w:r>
      <w:r w:rsidRPr="0014310B">
        <w:rPr>
          <w:rFonts w:ascii="Book Antiqua" w:hAnsi="Book Antiqua"/>
          <w:sz w:val="18"/>
          <w:szCs w:val="18"/>
          <w:lang w:val="sr-Latn-RS"/>
        </w:rPr>
        <w:t>Bilten Apelacionog suda u Beogradu, 7/2015, ISSN 2217-3609</w:t>
      </w:r>
    </w:p>
  </w:footnote>
  <w:footnote w:id="61">
    <w:p w:rsidR="00652744" w:rsidRPr="00A55FE7" w:rsidRDefault="00652744" w:rsidP="007C327E">
      <w:pPr>
        <w:pStyle w:val="FootnoteText"/>
        <w:jc w:val="both"/>
        <w:rPr>
          <w:rFonts w:ascii="Book Antiqua" w:hAnsi="Book Antiqua"/>
          <w:sz w:val="18"/>
          <w:szCs w:val="18"/>
          <w:lang w:val="sr-Latn-RS"/>
        </w:rPr>
      </w:pPr>
      <w:r w:rsidRPr="007C327E">
        <w:rPr>
          <w:rStyle w:val="FootnoteReference"/>
        </w:rPr>
        <w:footnoteRef/>
      </w:r>
      <w:r w:rsidRPr="007C327E">
        <w:t xml:space="preserve"> </w:t>
      </w:r>
      <w:r w:rsidR="002C61D7" w:rsidRPr="007C327E">
        <w:rPr>
          <w:rFonts w:ascii="Book Antiqua" w:hAnsi="Book Antiqua"/>
          <w:sz w:val="18"/>
          <w:szCs w:val="18"/>
          <w:lang w:val="sr-Latn-RS"/>
        </w:rPr>
        <w:t>Zakona o izvršenju i obezbeđenju</w:t>
      </w:r>
      <w:r w:rsidR="007C327E" w:rsidRPr="007C327E">
        <w:rPr>
          <w:rFonts w:ascii="Book Antiqua" w:hAnsi="Book Antiqua"/>
          <w:sz w:val="18"/>
          <w:szCs w:val="18"/>
          <w:lang w:val="sr-Latn-RS"/>
        </w:rPr>
        <w:t xml:space="preserve"> ("Sl. glasnik RS", br. 106/2015)</w:t>
      </w:r>
    </w:p>
  </w:footnote>
  <w:footnote w:id="62">
    <w:p w:rsidR="00162BDE" w:rsidRPr="00162BDE" w:rsidRDefault="00162BDE">
      <w:pPr>
        <w:pStyle w:val="FootnoteText"/>
        <w:rPr>
          <w:lang w:val="sr-Latn-RS"/>
        </w:rPr>
      </w:pPr>
      <w:r>
        <w:rPr>
          <w:rStyle w:val="FootnoteReference"/>
        </w:rPr>
        <w:footnoteRef/>
      </w:r>
      <w:r>
        <w:t xml:space="preserve"> </w:t>
      </w:r>
      <w:r w:rsidRPr="00E90E7E">
        <w:rPr>
          <w:rFonts w:ascii="Book Antiqua" w:hAnsi="Book Antiqua"/>
          <w:sz w:val="18"/>
          <w:szCs w:val="18"/>
          <w:lang w:val="sr-Latn-RS"/>
        </w:rPr>
        <w:t>Kako do pravosuđa po meri deteta - Položaj deteta u građanskim sudskim postupcima u Republici Srbiji - poštovanje i ostvarivanje prava na participaciju i najbolje interese deteta u sudskim postupcima, Centar za prava deteta, Beograd, 2015</w:t>
      </w:r>
      <w:r>
        <w:rPr>
          <w:rFonts w:ascii="Book Antiqua" w:hAnsi="Book Antiqua"/>
          <w:sz w:val="18"/>
          <w:szCs w:val="18"/>
          <w:lang w:val="sr-Latn-RS"/>
        </w:rPr>
        <w:t>, str 49-54</w:t>
      </w:r>
    </w:p>
  </w:footnote>
  <w:footnote w:id="63">
    <w:p w:rsidR="00856520" w:rsidRPr="00856520" w:rsidRDefault="00856520">
      <w:pPr>
        <w:pStyle w:val="FootnoteText"/>
        <w:rPr>
          <w:lang w:val="sr-Latn-RS"/>
        </w:rPr>
      </w:pPr>
      <w:r>
        <w:rPr>
          <w:rStyle w:val="FootnoteReference"/>
        </w:rPr>
        <w:footnoteRef/>
      </w:r>
      <w:r>
        <w:t xml:space="preserve"> </w:t>
      </w:r>
      <w:r w:rsidRPr="00856520">
        <w:rPr>
          <w:rFonts w:ascii="Book Antiqua" w:hAnsi="Book Antiqua"/>
          <w:i/>
          <w:sz w:val="18"/>
          <w:szCs w:val="18"/>
          <w:lang w:val="sr-Latn-RS"/>
        </w:rPr>
        <w:t>Ibid.</w:t>
      </w:r>
    </w:p>
  </w:footnote>
  <w:footnote w:id="64">
    <w:p w:rsidR="00263BFF" w:rsidRPr="00263BFF" w:rsidRDefault="00263BFF">
      <w:pPr>
        <w:pStyle w:val="FootnoteText"/>
        <w:rPr>
          <w:lang w:val="sr-Latn-RS"/>
        </w:rPr>
      </w:pPr>
      <w:r>
        <w:rPr>
          <w:rStyle w:val="FootnoteReference"/>
        </w:rPr>
        <w:footnoteRef/>
      </w:r>
      <w:r>
        <w:t xml:space="preserve"> </w:t>
      </w:r>
      <w:r w:rsidRPr="00566AD5">
        <w:rPr>
          <w:rFonts w:ascii="Book Antiqua" w:hAnsi="Book Antiqua"/>
          <w:sz w:val="18"/>
          <w:szCs w:val="18"/>
          <w:lang w:val="sr-Latn-RS"/>
        </w:rPr>
        <w:t>Presuda Vrhovnog kasacionog suda, Rev</w:t>
      </w:r>
      <w:r>
        <w:rPr>
          <w:rFonts w:ascii="Book Antiqua" w:hAnsi="Book Antiqua"/>
          <w:sz w:val="18"/>
          <w:szCs w:val="18"/>
          <w:lang w:val="sr-Latn-RS"/>
        </w:rPr>
        <w:t xml:space="preserve"> 1884/2015, od 10.12.2016.godine</w:t>
      </w:r>
    </w:p>
  </w:footnote>
  <w:footnote w:id="65">
    <w:p w:rsidR="00566AD5" w:rsidRPr="00566AD5" w:rsidRDefault="00566AD5">
      <w:pPr>
        <w:pStyle w:val="FootnoteText"/>
        <w:rPr>
          <w:rFonts w:ascii="Book Antiqua" w:hAnsi="Book Antiqua"/>
          <w:sz w:val="18"/>
          <w:szCs w:val="18"/>
          <w:lang w:val="sr-Latn-RS"/>
        </w:rPr>
      </w:pPr>
      <w:r>
        <w:rPr>
          <w:rStyle w:val="FootnoteReference"/>
        </w:rPr>
        <w:footnoteRef/>
      </w:r>
      <w:r>
        <w:t xml:space="preserve"> </w:t>
      </w:r>
      <w:r w:rsidRPr="00566AD5">
        <w:rPr>
          <w:rFonts w:ascii="Book Antiqua" w:hAnsi="Book Antiqua"/>
          <w:sz w:val="18"/>
          <w:szCs w:val="18"/>
          <w:lang w:val="sr-Latn-RS"/>
        </w:rPr>
        <w:t>Presuda Vrhovnog kasacionog suda, Rev 713/2016, od 18.05.2016.godine</w:t>
      </w:r>
    </w:p>
  </w:footnote>
  <w:footnote w:id="66">
    <w:p w:rsidR="006E1247" w:rsidRPr="006E1247" w:rsidRDefault="006E1247">
      <w:pPr>
        <w:pStyle w:val="FootnoteText"/>
        <w:rPr>
          <w:rFonts w:ascii="Book Antiqua" w:hAnsi="Book Antiqua"/>
          <w:sz w:val="18"/>
          <w:szCs w:val="18"/>
          <w:lang w:val="sr-Latn-RS"/>
        </w:rPr>
      </w:pPr>
      <w:r>
        <w:rPr>
          <w:rStyle w:val="FootnoteReference"/>
        </w:rPr>
        <w:footnoteRef/>
      </w:r>
      <w:r>
        <w:t xml:space="preserve"> </w:t>
      </w:r>
      <w:r w:rsidRPr="006E1247">
        <w:rPr>
          <w:rFonts w:ascii="Book Antiqua" w:hAnsi="Book Antiqua"/>
          <w:sz w:val="18"/>
          <w:szCs w:val="18"/>
          <w:lang w:val="sr-Latn-RS"/>
        </w:rPr>
        <w:t>Presuda Vrhovnog kasacionog suda, Rev 2345/2015, od 15.12.2015..godine</w:t>
      </w:r>
    </w:p>
  </w:footnote>
  <w:footnote w:id="67">
    <w:p w:rsidR="00F9462E" w:rsidRPr="00F9462E" w:rsidRDefault="00F9462E">
      <w:pPr>
        <w:pStyle w:val="FootnoteText"/>
        <w:rPr>
          <w:lang w:val="sr-Latn-RS"/>
        </w:rPr>
      </w:pPr>
      <w:r>
        <w:rPr>
          <w:rStyle w:val="FootnoteReference"/>
        </w:rPr>
        <w:footnoteRef/>
      </w:r>
      <w:r>
        <w:t xml:space="preserve"> </w:t>
      </w:r>
      <w:r w:rsidRPr="00F9462E">
        <w:rPr>
          <w:rFonts w:ascii="Book Antiqua" w:hAnsi="Book Antiqua"/>
          <w:sz w:val="18"/>
          <w:szCs w:val="18"/>
          <w:lang w:val="sr-Latn-RS"/>
        </w:rPr>
        <w:t>Presuda Vrhovnog kasacionog suda, Rev 2241/2015, od 16.12.2015.godine</w:t>
      </w:r>
    </w:p>
  </w:footnote>
  <w:footnote w:id="68">
    <w:p w:rsidR="008703A0" w:rsidRPr="008703A0" w:rsidRDefault="008703A0">
      <w:pPr>
        <w:pStyle w:val="FootnoteText"/>
        <w:rPr>
          <w:rFonts w:ascii="Book Antiqua" w:hAnsi="Book Antiqua"/>
          <w:sz w:val="18"/>
          <w:szCs w:val="18"/>
          <w:lang w:val="sr-Latn-RS"/>
        </w:rPr>
      </w:pPr>
      <w:r>
        <w:rPr>
          <w:rStyle w:val="FootnoteReference"/>
        </w:rPr>
        <w:footnoteRef/>
      </w:r>
      <w:r>
        <w:t xml:space="preserve"> </w:t>
      </w:r>
      <w:r w:rsidRPr="008703A0">
        <w:rPr>
          <w:rFonts w:ascii="Book Antiqua" w:hAnsi="Book Antiqua"/>
          <w:sz w:val="18"/>
          <w:szCs w:val="18"/>
          <w:lang w:val="sr-Latn-RS"/>
        </w:rPr>
        <w:t>Presuda Apelacionog suda u Beogradu, Gž2 365/2015, od 16.07.2015.godine</w:t>
      </w:r>
    </w:p>
  </w:footnote>
  <w:footnote w:id="69">
    <w:p w:rsidR="008064F5" w:rsidRPr="003D332E" w:rsidRDefault="008064F5">
      <w:pPr>
        <w:pStyle w:val="FootnoteText"/>
        <w:rPr>
          <w:rFonts w:ascii="Book Antiqua" w:hAnsi="Book Antiqua"/>
          <w:sz w:val="18"/>
          <w:szCs w:val="18"/>
          <w:lang w:val="sr-Latn-RS"/>
        </w:rPr>
      </w:pPr>
      <w:r>
        <w:rPr>
          <w:rStyle w:val="FootnoteReference"/>
        </w:rPr>
        <w:footnoteRef/>
      </w:r>
      <w:r>
        <w:t xml:space="preserve"> </w:t>
      </w:r>
      <w:r w:rsidRPr="003D332E">
        <w:rPr>
          <w:rFonts w:ascii="Book Antiqua" w:hAnsi="Book Antiqua"/>
          <w:sz w:val="18"/>
          <w:szCs w:val="18"/>
          <w:lang w:val="sr-Latn-RS"/>
        </w:rPr>
        <w:t>Bilten Apelacionog</w:t>
      </w:r>
      <w:r w:rsidR="003D332E" w:rsidRPr="003D332E">
        <w:rPr>
          <w:rFonts w:ascii="Book Antiqua" w:hAnsi="Book Antiqua"/>
          <w:sz w:val="18"/>
          <w:szCs w:val="18"/>
          <w:lang w:val="sr-Latn-RS"/>
        </w:rPr>
        <w:t xml:space="preserve"> suda u Beogradu, br 8/2016, ISSN 2217-3609</w:t>
      </w:r>
    </w:p>
  </w:footnote>
  <w:footnote w:id="70">
    <w:p w:rsidR="0051119A" w:rsidRPr="006514AC" w:rsidRDefault="0051119A" w:rsidP="007C327E">
      <w:pPr>
        <w:pStyle w:val="FootnoteText"/>
        <w:jc w:val="both"/>
        <w:rPr>
          <w:rFonts w:ascii="Book Antiqua" w:hAnsi="Book Antiqua"/>
          <w:sz w:val="18"/>
          <w:szCs w:val="18"/>
          <w:lang w:val="sr-Latn-RS"/>
        </w:rPr>
      </w:pPr>
      <w:r>
        <w:rPr>
          <w:rStyle w:val="FootnoteReference"/>
        </w:rPr>
        <w:footnoteRef/>
      </w:r>
      <w:r>
        <w:t xml:space="preserve"> </w:t>
      </w:r>
      <w:r w:rsidRPr="006514AC">
        <w:rPr>
          <w:rFonts w:ascii="Book Antiqua" w:hAnsi="Book Antiqua"/>
          <w:sz w:val="18"/>
          <w:szCs w:val="18"/>
          <w:lang w:val="sr-Latn-RS"/>
        </w:rPr>
        <w:t>Presude Apelacionog suda u Beogr</w:t>
      </w:r>
      <w:r w:rsidR="006B3CAA" w:rsidRPr="006514AC">
        <w:rPr>
          <w:rFonts w:ascii="Book Antiqua" w:hAnsi="Book Antiqua"/>
          <w:sz w:val="18"/>
          <w:szCs w:val="18"/>
          <w:lang w:val="sr-Latn-RS"/>
        </w:rPr>
        <w:t>adu: Gž2.189/12, Gž2.359/11 i Gž</w:t>
      </w:r>
      <w:r w:rsidRPr="006514AC">
        <w:rPr>
          <w:rFonts w:ascii="Book Antiqua" w:hAnsi="Book Antiqua"/>
          <w:sz w:val="18"/>
          <w:szCs w:val="18"/>
          <w:lang w:val="sr-Latn-RS"/>
        </w:rPr>
        <w:t>2.192/10</w:t>
      </w:r>
    </w:p>
  </w:footnote>
  <w:footnote w:id="71">
    <w:p w:rsidR="002C61D7" w:rsidRPr="002C61D7" w:rsidRDefault="002C61D7" w:rsidP="007C327E">
      <w:pPr>
        <w:pStyle w:val="FootnoteText"/>
        <w:jc w:val="both"/>
        <w:rPr>
          <w:lang w:val="sr-Latn-RS"/>
        </w:rPr>
      </w:pPr>
      <w:r>
        <w:rPr>
          <w:rStyle w:val="FootnoteReference"/>
        </w:rPr>
        <w:footnoteRef/>
      </w:r>
      <w:r>
        <w:t xml:space="preserve"> </w:t>
      </w:r>
      <w:r w:rsidRPr="003376EB">
        <w:rPr>
          <w:rFonts w:ascii="Book Antiqua" w:hAnsi="Book Antiqua"/>
          <w:sz w:val="18"/>
          <w:szCs w:val="18"/>
          <w:lang w:val="sr-Latn-RS"/>
        </w:rPr>
        <w:t xml:space="preserve">Zakon o ratifikaciji UN Konvencije o pravima deteta </w:t>
      </w:r>
      <w:r>
        <w:rPr>
          <w:rFonts w:ascii="Book Antiqua" w:hAnsi="Book Antiqua"/>
          <w:sz w:val="18"/>
          <w:szCs w:val="18"/>
          <w:lang w:val="sr-Latn-RS"/>
        </w:rPr>
        <w:t xml:space="preserve">, </w:t>
      </w:r>
      <w:r>
        <w:rPr>
          <w:rFonts w:ascii="Book Antiqua" w:hAnsi="Book Antiqua"/>
          <w:lang w:val="sr-Latn-RS"/>
        </w:rPr>
        <w:t>čl 3, st 1-2</w:t>
      </w:r>
    </w:p>
  </w:footnote>
  <w:footnote w:id="72">
    <w:p w:rsidR="00177467" w:rsidRPr="006514AC" w:rsidRDefault="00177467" w:rsidP="007C327E">
      <w:pPr>
        <w:pStyle w:val="FootnoteText"/>
        <w:jc w:val="both"/>
        <w:rPr>
          <w:rFonts w:ascii="Book Antiqua" w:hAnsi="Book Antiqua"/>
          <w:sz w:val="18"/>
          <w:szCs w:val="18"/>
          <w:lang w:val="sr-Latn-RS"/>
        </w:rPr>
      </w:pPr>
      <w:r>
        <w:rPr>
          <w:rStyle w:val="FootnoteReference"/>
        </w:rPr>
        <w:footnoteRef/>
      </w:r>
      <w:r>
        <w:t xml:space="preserve"> </w:t>
      </w:r>
      <w:r w:rsidRPr="006514AC">
        <w:rPr>
          <w:rFonts w:ascii="Book Antiqua" w:hAnsi="Book Antiqua"/>
          <w:sz w:val="18"/>
          <w:szCs w:val="18"/>
          <w:lang w:val="sr-Latn-RS"/>
        </w:rPr>
        <w:t>Presuda Evropskog suda za ljudska prava u slučaju V.A.M. protiv Srbije, predstavka broj 39177/05, presuda od 13.03.2007.godine</w:t>
      </w:r>
      <w:r w:rsidR="00D431E4">
        <w:rPr>
          <w:rFonts w:ascii="Book Antiqua" w:hAnsi="Book Antiqua"/>
          <w:sz w:val="18"/>
          <w:szCs w:val="18"/>
          <w:lang w:val="sr-Latn-RS"/>
        </w:rPr>
        <w:t>, punomoćnik adv. Natalija Šolić , Komitet pravnika za ljudska prava</w:t>
      </w:r>
    </w:p>
  </w:footnote>
  <w:footnote w:id="73">
    <w:p w:rsidR="002E7B41" w:rsidRPr="006514AC" w:rsidRDefault="002E7B41" w:rsidP="007C327E">
      <w:pPr>
        <w:pStyle w:val="FootnoteText"/>
        <w:jc w:val="both"/>
        <w:rPr>
          <w:rFonts w:ascii="Book Antiqua" w:hAnsi="Book Antiqua"/>
          <w:sz w:val="18"/>
          <w:szCs w:val="18"/>
          <w:lang w:val="sr-Latn-RS"/>
        </w:rPr>
      </w:pPr>
      <w:r w:rsidRPr="002E7B41">
        <w:rPr>
          <w:rStyle w:val="FootnoteReference"/>
        </w:rPr>
        <w:footnoteRef/>
      </w:r>
      <w:r w:rsidRPr="002E7B41">
        <w:t xml:space="preserve"> </w:t>
      </w:r>
      <w:r w:rsidRPr="006514AC">
        <w:rPr>
          <w:rFonts w:ascii="Book Antiqua" w:hAnsi="Book Antiqua"/>
          <w:sz w:val="18"/>
          <w:szCs w:val="18"/>
          <w:lang w:val="sr-Latn-RS"/>
        </w:rPr>
        <w:t>„... rukovodeći se najboljim interesom deteta kao pretežnim i vrhovnim načelom, sankcionisanjem tuženog zbog onemogućavanja održavanja ličnog odnosa između maloletnog deteta i majke, lišenjem roditeljskog prava oca, prvenstveno i u najvećoj meri bila bi drakonska sankcija prema maloletnom detetu jer bi joj na taj način bilo oduzeto pravo da neposredno živi sa ocem kao roditeljem sa kojim je ona u najbližoj vezanosti...“, Presuda IV opštinskog suda u Beogradu, posl.br.VIII P.br.3249/06</w:t>
      </w:r>
    </w:p>
  </w:footnote>
  <w:footnote w:id="74">
    <w:p w:rsidR="000648BF" w:rsidRPr="001C3B19" w:rsidRDefault="000648BF" w:rsidP="007C327E">
      <w:pPr>
        <w:pStyle w:val="FootnoteText"/>
        <w:jc w:val="both"/>
        <w:rPr>
          <w:rFonts w:ascii="Book Antiqua" w:hAnsi="Book Antiqua"/>
          <w:lang w:val="sr-Latn-RS"/>
        </w:rPr>
      </w:pPr>
      <w:r>
        <w:rPr>
          <w:rStyle w:val="FootnoteReference"/>
        </w:rPr>
        <w:footnoteRef/>
      </w:r>
      <w:r>
        <w:t xml:space="preserve"> </w:t>
      </w:r>
      <w:r w:rsidRPr="006514AC">
        <w:rPr>
          <w:rFonts w:ascii="Book Antiqua" w:hAnsi="Book Antiqua"/>
          <w:sz w:val="18"/>
          <w:szCs w:val="18"/>
          <w:lang w:val="sr-Latn-RS"/>
        </w:rPr>
        <w:t>Evropska konvencija za zaštitu ljudskih prava i osnovnih sloboda</w:t>
      </w:r>
      <w:r w:rsidR="000B6EB9" w:rsidRPr="000B6EB9">
        <w:t xml:space="preserve"> </w:t>
      </w:r>
      <w:r w:rsidR="000B6EB9" w:rsidRPr="000B6EB9">
        <w:rPr>
          <w:rFonts w:ascii="Book Antiqua" w:hAnsi="Book Antiqua"/>
          <w:sz w:val="18"/>
          <w:szCs w:val="18"/>
          <w:lang w:val="sr-Latn-RS"/>
        </w:rPr>
        <w:t>("Sl. list SCG - Međunarodni ugovori", br. 9/2003, 5/2005 i 7/2005 - ispr. i "Sl. glasnik RS - Međunarodni ugovori", br. 12/2010 i 10/2015)</w:t>
      </w:r>
      <w:r w:rsidRPr="006514AC">
        <w:rPr>
          <w:rFonts w:ascii="Book Antiqua" w:hAnsi="Book Antiqua"/>
          <w:sz w:val="18"/>
          <w:szCs w:val="18"/>
          <w:lang w:val="sr-Latn-RS"/>
        </w:rPr>
        <w:t>, čl 6 - Pravo na pravično suđenje</w:t>
      </w:r>
    </w:p>
  </w:footnote>
  <w:footnote w:id="75">
    <w:p w:rsidR="000648BF" w:rsidRPr="006514AC" w:rsidRDefault="000648BF" w:rsidP="007C327E">
      <w:pPr>
        <w:pStyle w:val="FootnoteText"/>
        <w:jc w:val="both"/>
        <w:rPr>
          <w:rFonts w:ascii="Book Antiqua" w:hAnsi="Book Antiqua"/>
          <w:sz w:val="18"/>
          <w:szCs w:val="18"/>
          <w:lang w:val="sr-Latn-RS"/>
        </w:rPr>
      </w:pPr>
      <w:r>
        <w:rPr>
          <w:rStyle w:val="FootnoteReference"/>
        </w:rPr>
        <w:footnoteRef/>
      </w:r>
      <w:r>
        <w:t xml:space="preserve"> </w:t>
      </w:r>
      <w:r w:rsidR="000B6EB9">
        <w:t>K</w:t>
      </w:r>
      <w:r w:rsidRPr="006514AC">
        <w:rPr>
          <w:rFonts w:ascii="Book Antiqua" w:hAnsi="Book Antiqua"/>
          <w:sz w:val="18"/>
          <w:szCs w:val="18"/>
          <w:lang w:val="sr-Latn-RS"/>
        </w:rPr>
        <w:t>onvencija za zaštitu ljudskih prava i osnovnih sloboda, čl 13 - delotvorno pravno sredstvo</w:t>
      </w:r>
    </w:p>
  </w:footnote>
  <w:footnote w:id="76">
    <w:p w:rsidR="000648BF" w:rsidRPr="006514AC" w:rsidRDefault="000648BF" w:rsidP="007C327E">
      <w:pPr>
        <w:pStyle w:val="FootnoteText"/>
        <w:jc w:val="both"/>
        <w:rPr>
          <w:rFonts w:ascii="Book Antiqua" w:hAnsi="Book Antiqua"/>
          <w:sz w:val="18"/>
          <w:szCs w:val="18"/>
          <w:lang w:val="sr-Latn-RS"/>
        </w:rPr>
      </w:pPr>
      <w:r>
        <w:rPr>
          <w:rStyle w:val="FootnoteReference"/>
        </w:rPr>
        <w:footnoteRef/>
      </w:r>
      <w:r w:rsidR="000609EB">
        <w:t xml:space="preserve"> </w:t>
      </w:r>
      <w:r w:rsidR="000B6EB9">
        <w:t>K</w:t>
      </w:r>
      <w:r w:rsidRPr="006514AC">
        <w:rPr>
          <w:rFonts w:ascii="Book Antiqua" w:hAnsi="Book Antiqua"/>
          <w:sz w:val="18"/>
          <w:szCs w:val="18"/>
          <w:lang w:val="sr-Latn-RS"/>
        </w:rPr>
        <w:t>onvencija za zaštitu ljudskih prava i osnovnih sloboda, čl 8 - Pravo na poštovanje privatnog i porodičnog života</w:t>
      </w:r>
    </w:p>
  </w:footnote>
  <w:footnote w:id="77">
    <w:p w:rsidR="00030C29" w:rsidRPr="006514AC" w:rsidRDefault="00030C29" w:rsidP="007C327E">
      <w:pPr>
        <w:pStyle w:val="FootnoteText"/>
        <w:jc w:val="both"/>
        <w:rPr>
          <w:rFonts w:ascii="Book Antiqua" w:hAnsi="Book Antiqua"/>
          <w:sz w:val="18"/>
          <w:szCs w:val="18"/>
          <w:lang w:val="sr-Latn-RS"/>
        </w:rPr>
      </w:pPr>
      <w:r>
        <w:rPr>
          <w:rStyle w:val="FootnoteReference"/>
        </w:rPr>
        <w:footnoteRef/>
      </w:r>
      <w:r>
        <w:t xml:space="preserve"> </w:t>
      </w:r>
      <w:r w:rsidRPr="006514AC">
        <w:rPr>
          <w:rFonts w:ascii="Book Antiqua" w:hAnsi="Book Antiqua"/>
          <w:sz w:val="18"/>
          <w:szCs w:val="18"/>
          <w:lang w:val="sr-Latn-RS"/>
        </w:rPr>
        <w:t>Konvencija o sprečavanju i borbi protiv nasilja nad ženama i nasilja u porodici,  čl 31</w:t>
      </w:r>
    </w:p>
  </w:footnote>
  <w:footnote w:id="78">
    <w:p w:rsidR="00030C29" w:rsidRPr="001C3B19" w:rsidRDefault="00030C29" w:rsidP="007C327E">
      <w:pPr>
        <w:pStyle w:val="FootnoteText"/>
        <w:jc w:val="both"/>
        <w:rPr>
          <w:rFonts w:ascii="Book Antiqua" w:hAnsi="Book Antiqua"/>
          <w:lang w:val="sr-Latn-RS"/>
        </w:rPr>
      </w:pPr>
      <w:r>
        <w:rPr>
          <w:rStyle w:val="FootnoteReference"/>
        </w:rPr>
        <w:footnoteRef/>
      </w:r>
      <w:r>
        <w:t xml:space="preserve"> </w:t>
      </w:r>
      <w:r w:rsidRPr="006514AC">
        <w:rPr>
          <w:rFonts w:ascii="Book Antiqua" w:hAnsi="Book Antiqua"/>
          <w:sz w:val="18"/>
          <w:szCs w:val="18"/>
          <w:lang w:val="sr-Latn-RS"/>
        </w:rPr>
        <w:t>Konvencija o sprečavanju i borbi protiv nasilja nad ženama i nasilja u porodici,  čl 31, st 2</w:t>
      </w:r>
    </w:p>
  </w:footnote>
  <w:footnote w:id="79">
    <w:p w:rsidR="00B029BC" w:rsidRPr="006514AC" w:rsidRDefault="00B029BC" w:rsidP="007C327E">
      <w:pPr>
        <w:pStyle w:val="FootnoteText"/>
        <w:jc w:val="both"/>
        <w:rPr>
          <w:rFonts w:ascii="Book Antiqua" w:hAnsi="Book Antiqua"/>
          <w:sz w:val="18"/>
          <w:szCs w:val="18"/>
          <w:lang w:val="sr-Latn-RS"/>
        </w:rPr>
      </w:pPr>
      <w:r>
        <w:rPr>
          <w:rStyle w:val="FootnoteReference"/>
        </w:rPr>
        <w:footnoteRef/>
      </w:r>
      <w:r>
        <w:t xml:space="preserve"> </w:t>
      </w:r>
      <w:r w:rsidRPr="006514AC">
        <w:rPr>
          <w:rFonts w:ascii="Book Antiqua" w:hAnsi="Book Antiqua"/>
          <w:sz w:val="18"/>
          <w:szCs w:val="18"/>
          <w:lang w:val="sr-Latn-RS"/>
        </w:rPr>
        <w:t>Navedeni postupak je u toku</w:t>
      </w:r>
    </w:p>
  </w:footnote>
  <w:footnote w:id="80">
    <w:p w:rsidR="00B029BC" w:rsidRPr="006514AC" w:rsidRDefault="00B029BC" w:rsidP="007C327E">
      <w:pPr>
        <w:pStyle w:val="FootnoteText"/>
        <w:jc w:val="both"/>
        <w:rPr>
          <w:rFonts w:ascii="Book Antiqua" w:hAnsi="Book Antiqua"/>
          <w:sz w:val="18"/>
          <w:szCs w:val="18"/>
          <w:lang w:val="sr-Latn-RS"/>
        </w:rPr>
      </w:pPr>
      <w:r>
        <w:rPr>
          <w:rStyle w:val="FootnoteReference"/>
        </w:rPr>
        <w:footnoteRef/>
      </w:r>
      <w:r>
        <w:t xml:space="preserve"> </w:t>
      </w:r>
      <w:r w:rsidRPr="006514AC">
        <w:rPr>
          <w:rFonts w:ascii="Book Antiqua" w:hAnsi="Book Antiqua"/>
          <w:sz w:val="18"/>
          <w:szCs w:val="18"/>
          <w:lang w:val="sr-Latn-RS"/>
        </w:rPr>
        <w:t xml:space="preserve">Navedeno je rezultat u više slučajeva koji su u toku </w:t>
      </w:r>
    </w:p>
  </w:footnote>
  <w:footnote w:id="81">
    <w:p w:rsidR="004D6174" w:rsidRPr="004D6174" w:rsidRDefault="004D6174">
      <w:pPr>
        <w:pStyle w:val="FootnoteText"/>
        <w:rPr>
          <w:lang w:val="sr-Latn-RS"/>
        </w:rPr>
      </w:pPr>
      <w:r>
        <w:rPr>
          <w:rStyle w:val="FootnoteReference"/>
        </w:rPr>
        <w:footnoteRef/>
      </w:r>
      <w:r>
        <w:t xml:space="preserve"> </w:t>
      </w:r>
      <w:r w:rsidRPr="004D6174">
        <w:rPr>
          <w:rFonts w:ascii="Book Antiqua" w:hAnsi="Book Antiqua"/>
          <w:sz w:val="18"/>
          <w:szCs w:val="18"/>
          <w:lang w:val="sr-Latn-RS"/>
        </w:rPr>
        <w:t>Presuda Vrhovnog kasacionog suda, Rev 2241/2015, od 16.12.2015.godine</w:t>
      </w:r>
    </w:p>
  </w:footnote>
  <w:footnote w:id="82">
    <w:p w:rsidR="00D5149A" w:rsidRPr="00D5149A" w:rsidRDefault="00D5149A">
      <w:pPr>
        <w:pStyle w:val="FootnoteText"/>
        <w:rPr>
          <w:lang w:val="sr-Latn-RS"/>
        </w:rPr>
      </w:pPr>
      <w:r>
        <w:rPr>
          <w:rStyle w:val="FootnoteReference"/>
        </w:rPr>
        <w:footnoteRef/>
      </w:r>
      <w:r>
        <w:t xml:space="preserve"> </w:t>
      </w:r>
      <w:r w:rsidR="00113013" w:rsidRPr="00113013">
        <w:rPr>
          <w:rFonts w:ascii="Book Antiqua" w:hAnsi="Book Antiqua"/>
          <w:sz w:val="18"/>
          <w:szCs w:val="18"/>
          <w:lang w:val="sr-Latn-RS"/>
        </w:rPr>
        <w:t>Rešenje Vrhovnog kasacionog suda, Rev 2190/2015, od 10.12.2015.godine</w:t>
      </w:r>
    </w:p>
  </w:footnote>
  <w:footnote w:id="83">
    <w:p w:rsidR="00A34BC4" w:rsidRPr="00A34BC4" w:rsidRDefault="00A34BC4">
      <w:pPr>
        <w:pStyle w:val="FootnoteText"/>
        <w:rPr>
          <w:lang w:val="sr-Latn-RS"/>
        </w:rPr>
      </w:pPr>
      <w:r>
        <w:rPr>
          <w:rStyle w:val="FootnoteReference"/>
        </w:rPr>
        <w:footnoteRef/>
      </w:r>
      <w:r>
        <w:t xml:space="preserve"> </w:t>
      </w:r>
      <w:r w:rsidR="00BC0EDE" w:rsidRPr="00BC0EDE">
        <w:rPr>
          <w:rFonts w:ascii="Book Antiqua" w:hAnsi="Book Antiqua"/>
          <w:sz w:val="18"/>
          <w:szCs w:val="18"/>
          <w:lang w:val="sr-Latn-RS"/>
        </w:rPr>
        <w:t>Presuda Vrhovnog kasacionog suda, Rev 289/2016, od 16.03.2016.godine</w:t>
      </w:r>
    </w:p>
  </w:footnote>
  <w:footnote w:id="84">
    <w:p w:rsidR="003277C7" w:rsidRPr="003277C7" w:rsidRDefault="003277C7">
      <w:pPr>
        <w:pStyle w:val="FootnoteText"/>
        <w:rPr>
          <w:lang w:val="sr-Latn-RS"/>
        </w:rPr>
      </w:pPr>
      <w:r>
        <w:rPr>
          <w:rStyle w:val="FootnoteReference"/>
        </w:rPr>
        <w:footnoteRef/>
      </w:r>
      <w:r>
        <w:t xml:space="preserve"> </w:t>
      </w:r>
      <w:r w:rsidRPr="00BC0EDE">
        <w:rPr>
          <w:rFonts w:ascii="Book Antiqua" w:hAnsi="Book Antiqua"/>
          <w:sz w:val="18"/>
          <w:szCs w:val="18"/>
          <w:lang w:val="sr-Latn-RS"/>
        </w:rPr>
        <w:t>Presuda Vrhovnog kasacionog suda, Rev</w:t>
      </w:r>
      <w:r>
        <w:rPr>
          <w:rFonts w:ascii="Book Antiqua" w:hAnsi="Book Antiqua"/>
          <w:sz w:val="18"/>
          <w:szCs w:val="18"/>
          <w:lang w:val="sr-Latn-RS"/>
        </w:rPr>
        <w:t xml:space="preserve"> 2114/2015, od 02.12.2015.godine</w:t>
      </w:r>
    </w:p>
  </w:footnote>
  <w:footnote w:id="85">
    <w:p w:rsidR="007C327E" w:rsidRPr="00432AB5" w:rsidRDefault="007C327E" w:rsidP="007C327E">
      <w:pPr>
        <w:pStyle w:val="FootnoteText"/>
        <w:jc w:val="both"/>
        <w:rPr>
          <w:rFonts w:ascii="Book Antiqua" w:hAnsi="Book Antiqua"/>
          <w:sz w:val="18"/>
          <w:szCs w:val="18"/>
          <w:lang w:val="sr-Latn-RS"/>
        </w:rPr>
      </w:pPr>
      <w:r w:rsidRPr="00432AB5">
        <w:rPr>
          <w:rStyle w:val="FootnoteReference"/>
          <w:rFonts w:ascii="Book Antiqua" w:hAnsi="Book Antiqua"/>
          <w:sz w:val="18"/>
          <w:szCs w:val="18"/>
        </w:rPr>
        <w:footnoteRef/>
      </w:r>
      <w:r w:rsidRPr="00432AB5">
        <w:rPr>
          <w:rFonts w:ascii="Book Antiqua" w:hAnsi="Book Antiqua"/>
          <w:sz w:val="18"/>
          <w:szCs w:val="18"/>
        </w:rPr>
        <w:t xml:space="preserve"> </w:t>
      </w:r>
      <w:r w:rsidRPr="00432AB5">
        <w:rPr>
          <w:rFonts w:ascii="Book Antiqua" w:hAnsi="Book Antiqua"/>
          <w:sz w:val="18"/>
          <w:szCs w:val="18"/>
          <w:lang w:val="sr-Latn-RS"/>
        </w:rPr>
        <w:t>Zakon o prekršajima ("Sl. glasnik RS", br. 65/2013 i 13/2016)</w:t>
      </w:r>
    </w:p>
  </w:footnote>
  <w:footnote w:id="86">
    <w:p w:rsidR="007C327E" w:rsidRPr="00F856F3" w:rsidRDefault="007C327E" w:rsidP="007C327E">
      <w:pPr>
        <w:pStyle w:val="FootnoteText"/>
        <w:jc w:val="both"/>
        <w:rPr>
          <w:rFonts w:ascii="Book Antiqua" w:hAnsi="Book Antiqua"/>
          <w:sz w:val="18"/>
          <w:szCs w:val="18"/>
          <w:lang w:val="sr-Latn-RS"/>
        </w:rPr>
      </w:pPr>
      <w:r w:rsidRPr="00F856F3">
        <w:rPr>
          <w:rStyle w:val="FootnoteReference"/>
          <w:rFonts w:ascii="Book Antiqua" w:hAnsi="Book Antiqua"/>
          <w:sz w:val="18"/>
          <w:szCs w:val="18"/>
        </w:rPr>
        <w:footnoteRef/>
      </w:r>
      <w:r w:rsidRPr="00F856F3">
        <w:rPr>
          <w:rFonts w:ascii="Book Antiqua" w:hAnsi="Book Antiqua"/>
          <w:sz w:val="18"/>
          <w:szCs w:val="18"/>
        </w:rPr>
        <w:t xml:space="preserve"> </w:t>
      </w:r>
      <w:r w:rsidRPr="00F856F3">
        <w:rPr>
          <w:rFonts w:ascii="Book Antiqua" w:hAnsi="Book Antiqua"/>
          <w:sz w:val="18"/>
          <w:szCs w:val="18"/>
          <w:lang w:val="sr-Latn-RS"/>
        </w:rPr>
        <w:t>Zakon i javnom redu i miru ("Sl. glasnik RS", br. 6/2016), član 9</w:t>
      </w:r>
      <w:r>
        <w:rPr>
          <w:rFonts w:ascii="Book Antiqua" w:hAnsi="Book Antiqua"/>
          <w:sz w:val="18"/>
          <w:szCs w:val="18"/>
          <w:lang w:val="sr-Latn-RS"/>
        </w:rPr>
        <w:t>.</w:t>
      </w:r>
    </w:p>
  </w:footnote>
  <w:footnote w:id="87">
    <w:p w:rsidR="007C327E" w:rsidRPr="00F856F3" w:rsidRDefault="007C327E" w:rsidP="007C327E">
      <w:pPr>
        <w:spacing w:after="0" w:line="240" w:lineRule="auto"/>
        <w:jc w:val="both"/>
        <w:rPr>
          <w:rFonts w:ascii="Book Antiqua" w:hAnsi="Book Antiqua"/>
          <w:sz w:val="18"/>
          <w:szCs w:val="18"/>
          <w:lang w:val="sr-Latn-RS"/>
        </w:rPr>
      </w:pPr>
      <w:r w:rsidRPr="00F856F3">
        <w:rPr>
          <w:rStyle w:val="FootnoteReference"/>
          <w:rFonts w:ascii="Book Antiqua" w:hAnsi="Book Antiqua"/>
          <w:sz w:val="18"/>
          <w:szCs w:val="18"/>
        </w:rPr>
        <w:footnoteRef/>
      </w:r>
      <w:r w:rsidRPr="00F856F3">
        <w:rPr>
          <w:rFonts w:ascii="Book Antiqua" w:hAnsi="Book Antiqua"/>
          <w:sz w:val="18"/>
          <w:szCs w:val="18"/>
        </w:rPr>
        <w:t xml:space="preserve"> </w:t>
      </w:r>
      <w:r w:rsidRPr="00F856F3">
        <w:rPr>
          <w:rFonts w:ascii="Book Antiqua" w:hAnsi="Book Antiqua"/>
          <w:sz w:val="18"/>
          <w:szCs w:val="18"/>
          <w:lang w:val="sr-Latn-RS"/>
        </w:rPr>
        <w:t xml:space="preserve">Zakon o osnovama sistema vaspitanja i obrazovanja </w:t>
      </w:r>
    </w:p>
  </w:footnote>
  <w:footnote w:id="88">
    <w:p w:rsidR="007C327E" w:rsidRPr="00F856F3" w:rsidRDefault="007C327E" w:rsidP="007C327E">
      <w:pPr>
        <w:pStyle w:val="FootnoteText"/>
        <w:jc w:val="both"/>
        <w:rPr>
          <w:rFonts w:ascii="Book Antiqua" w:hAnsi="Book Antiqua"/>
          <w:sz w:val="18"/>
          <w:szCs w:val="18"/>
          <w:lang w:val="sr-Latn-RS"/>
        </w:rPr>
      </w:pPr>
      <w:r w:rsidRPr="00F856F3">
        <w:rPr>
          <w:rStyle w:val="FootnoteReference"/>
          <w:rFonts w:ascii="Book Antiqua" w:hAnsi="Book Antiqua"/>
          <w:sz w:val="18"/>
          <w:szCs w:val="18"/>
        </w:rPr>
        <w:footnoteRef/>
      </w:r>
      <w:r w:rsidRPr="00F856F3">
        <w:rPr>
          <w:rFonts w:ascii="Book Antiqua" w:hAnsi="Book Antiqua"/>
          <w:sz w:val="18"/>
          <w:szCs w:val="18"/>
        </w:rPr>
        <w:t xml:space="preserve"> </w:t>
      </w:r>
      <w:r w:rsidRPr="00F856F3">
        <w:rPr>
          <w:rFonts w:ascii="Book Antiqua" w:hAnsi="Book Antiqua"/>
          <w:sz w:val="18"/>
          <w:szCs w:val="18"/>
          <w:lang w:val="sr-Latn-RS"/>
        </w:rPr>
        <w:t xml:space="preserve">Zakon o osnovama sistema vaspitanja i obrazovanja, član 45. </w:t>
      </w:r>
    </w:p>
  </w:footnote>
  <w:footnote w:id="89">
    <w:p w:rsidR="007C327E" w:rsidRPr="00432AB5" w:rsidRDefault="007C327E" w:rsidP="007C327E">
      <w:pPr>
        <w:pStyle w:val="FootnoteText"/>
        <w:jc w:val="both"/>
        <w:rPr>
          <w:rFonts w:ascii="Book Antiqua" w:hAnsi="Book Antiqua"/>
          <w:sz w:val="18"/>
          <w:szCs w:val="18"/>
          <w:highlight w:val="lightGray"/>
          <w:lang w:val="sr-Latn-RS"/>
        </w:rPr>
      </w:pPr>
      <w:r w:rsidRPr="00F856F3">
        <w:rPr>
          <w:rStyle w:val="FootnoteReference"/>
          <w:rFonts w:ascii="Book Antiqua" w:hAnsi="Book Antiqua"/>
          <w:sz w:val="18"/>
          <w:szCs w:val="18"/>
        </w:rPr>
        <w:footnoteRef/>
      </w:r>
      <w:r w:rsidRPr="00F856F3">
        <w:rPr>
          <w:rFonts w:ascii="Book Antiqua" w:hAnsi="Book Antiqua"/>
          <w:sz w:val="18"/>
          <w:szCs w:val="18"/>
        </w:rPr>
        <w:t xml:space="preserve"> </w:t>
      </w:r>
      <w:r w:rsidRPr="00F856F3">
        <w:rPr>
          <w:rFonts w:ascii="Book Antiqua" w:hAnsi="Book Antiqua"/>
          <w:sz w:val="18"/>
          <w:szCs w:val="18"/>
          <w:lang w:val="sr-Latn-RS"/>
        </w:rPr>
        <w:t>Zakon o osnovama sistema vaspitanja i obrazovanja, član 161. stav 1 tačka 3 i stav 2.</w:t>
      </w:r>
    </w:p>
  </w:footnote>
  <w:footnote w:id="90">
    <w:p w:rsidR="007C327E" w:rsidRPr="00432AB5" w:rsidRDefault="007C327E" w:rsidP="007C327E">
      <w:pPr>
        <w:pStyle w:val="FootnoteText"/>
        <w:jc w:val="both"/>
        <w:rPr>
          <w:rFonts w:ascii="Book Antiqua" w:hAnsi="Book Antiqua"/>
          <w:sz w:val="18"/>
          <w:szCs w:val="18"/>
          <w:lang w:val="sr-Latn-RS"/>
        </w:rPr>
      </w:pPr>
      <w:r w:rsidRPr="00432AB5">
        <w:rPr>
          <w:rStyle w:val="FootnoteReference"/>
          <w:rFonts w:ascii="Book Antiqua" w:hAnsi="Book Antiqua"/>
          <w:sz w:val="18"/>
          <w:szCs w:val="18"/>
        </w:rPr>
        <w:footnoteRef/>
      </w:r>
      <w:r w:rsidRPr="00432AB5">
        <w:rPr>
          <w:rFonts w:ascii="Book Antiqua" w:hAnsi="Book Antiqua"/>
          <w:sz w:val="18"/>
          <w:szCs w:val="18"/>
        </w:rPr>
        <w:t xml:space="preserve"> </w:t>
      </w:r>
      <w:r>
        <w:rPr>
          <w:rFonts w:ascii="Book Antiqua" w:hAnsi="Book Antiqua"/>
          <w:sz w:val="18"/>
          <w:szCs w:val="18"/>
          <w:lang w:val="sr-Latn-RS"/>
        </w:rPr>
        <w:t>Pravilnik</w:t>
      </w:r>
      <w:r w:rsidRPr="00432AB5">
        <w:rPr>
          <w:rFonts w:ascii="Book Antiqua" w:hAnsi="Book Antiqua"/>
          <w:sz w:val="18"/>
          <w:szCs w:val="18"/>
          <w:lang w:val="sr-Latn-RS"/>
        </w:rPr>
        <w:t xml:space="preserve"> o protokolu postupanja u ustanovi u odgovoru na nasilje, zlostavljanje i zanemarivanje u ustanovi </w:t>
      </w:r>
    </w:p>
  </w:footnote>
  <w:footnote w:id="91">
    <w:p w:rsidR="007C327E" w:rsidRPr="00432AB5" w:rsidRDefault="007C327E" w:rsidP="007C327E">
      <w:pPr>
        <w:pStyle w:val="FootnoteText"/>
        <w:jc w:val="both"/>
        <w:rPr>
          <w:rFonts w:ascii="Book Antiqua" w:hAnsi="Book Antiqua"/>
          <w:sz w:val="18"/>
          <w:szCs w:val="18"/>
          <w:lang w:val="sr-Latn-RS"/>
        </w:rPr>
      </w:pPr>
      <w:r w:rsidRPr="00432AB5">
        <w:rPr>
          <w:rStyle w:val="FootnoteReference"/>
          <w:rFonts w:ascii="Book Antiqua" w:hAnsi="Book Antiqua"/>
          <w:sz w:val="18"/>
          <w:szCs w:val="18"/>
        </w:rPr>
        <w:footnoteRef/>
      </w:r>
      <w:r w:rsidRPr="00432AB5">
        <w:rPr>
          <w:rFonts w:ascii="Book Antiqua" w:hAnsi="Book Antiqua"/>
          <w:sz w:val="18"/>
          <w:szCs w:val="18"/>
        </w:rPr>
        <w:t xml:space="preserve"> </w:t>
      </w:r>
      <w:r w:rsidRPr="00432AB5">
        <w:rPr>
          <w:rFonts w:ascii="Book Antiqua" w:hAnsi="Book Antiqua"/>
          <w:sz w:val="18"/>
          <w:szCs w:val="18"/>
          <w:lang w:val="sr-Latn-RS"/>
        </w:rPr>
        <w:t xml:space="preserve">Preporuka Zaštitnika građana Republike Srbije 14/2445/11, del.br. 5916, 14. mart 2012. godine </w:t>
      </w:r>
    </w:p>
  </w:footnote>
  <w:footnote w:id="92">
    <w:p w:rsidR="007C327E" w:rsidRPr="00432AB5" w:rsidRDefault="007C327E" w:rsidP="007C327E">
      <w:pPr>
        <w:pStyle w:val="FootnoteText"/>
        <w:jc w:val="both"/>
        <w:rPr>
          <w:rFonts w:ascii="Book Antiqua" w:hAnsi="Book Antiqua"/>
          <w:sz w:val="18"/>
          <w:szCs w:val="18"/>
          <w:lang w:val="sr-Latn-RS"/>
        </w:rPr>
      </w:pPr>
      <w:r w:rsidRPr="00432AB5">
        <w:rPr>
          <w:rStyle w:val="FootnoteReference"/>
          <w:rFonts w:ascii="Book Antiqua" w:hAnsi="Book Antiqua"/>
          <w:sz w:val="18"/>
          <w:szCs w:val="18"/>
        </w:rPr>
        <w:footnoteRef/>
      </w:r>
      <w:r w:rsidRPr="00432AB5">
        <w:rPr>
          <w:rFonts w:ascii="Book Antiqua" w:hAnsi="Book Antiqua"/>
          <w:sz w:val="18"/>
          <w:szCs w:val="18"/>
        </w:rPr>
        <w:t xml:space="preserve"> </w:t>
      </w:r>
      <w:r w:rsidRPr="00432AB5">
        <w:rPr>
          <w:rFonts w:ascii="Book Antiqua" w:hAnsi="Book Antiqua"/>
          <w:sz w:val="18"/>
          <w:szCs w:val="18"/>
          <w:lang w:val="sr-Latn-RS"/>
        </w:rPr>
        <w:t>Presuda Prekršajnog suda u Nišu, 04 Pr.br. 11923/11, od 18.06.2012. godine</w:t>
      </w:r>
    </w:p>
  </w:footnote>
  <w:footnote w:id="93">
    <w:p w:rsidR="007C327E" w:rsidRPr="00432AB5" w:rsidRDefault="007C327E" w:rsidP="007C327E">
      <w:pPr>
        <w:pStyle w:val="FootnoteText"/>
        <w:jc w:val="both"/>
        <w:rPr>
          <w:rFonts w:ascii="Book Antiqua" w:hAnsi="Book Antiqua"/>
          <w:sz w:val="18"/>
          <w:szCs w:val="18"/>
          <w:lang w:val="en-US"/>
        </w:rPr>
      </w:pPr>
      <w:r w:rsidRPr="00432AB5">
        <w:rPr>
          <w:rStyle w:val="FootnoteReference"/>
          <w:rFonts w:ascii="Book Antiqua" w:hAnsi="Book Antiqua"/>
          <w:sz w:val="18"/>
          <w:szCs w:val="18"/>
        </w:rPr>
        <w:footnoteRef/>
      </w:r>
      <w:r w:rsidRPr="00432AB5">
        <w:rPr>
          <w:rFonts w:ascii="Book Antiqua" w:hAnsi="Book Antiqua"/>
          <w:sz w:val="18"/>
          <w:szCs w:val="18"/>
        </w:rPr>
        <w:t xml:space="preserve"> </w:t>
      </w:r>
      <w:r w:rsidRPr="00432AB5">
        <w:rPr>
          <w:rFonts w:ascii="Book Antiqua" w:hAnsi="Book Antiqua"/>
          <w:sz w:val="18"/>
          <w:szCs w:val="18"/>
          <w:lang w:val="sr-Latn-RS"/>
        </w:rPr>
        <w:t xml:space="preserve">Pravilnik o protokolu postupanja u ustanovi u odgovoru na nasilje, zlostavljanje i zanemarivanje </w:t>
      </w:r>
    </w:p>
  </w:footnote>
  <w:footnote w:id="94">
    <w:p w:rsidR="007C327E" w:rsidRPr="00432AB5" w:rsidRDefault="007C327E" w:rsidP="007C327E">
      <w:pPr>
        <w:pStyle w:val="FootnoteText"/>
        <w:jc w:val="both"/>
        <w:rPr>
          <w:rFonts w:ascii="Book Antiqua" w:hAnsi="Book Antiqua"/>
          <w:sz w:val="18"/>
          <w:szCs w:val="18"/>
          <w:lang w:val="sr-Latn-RS"/>
        </w:rPr>
      </w:pPr>
      <w:r w:rsidRPr="00432AB5">
        <w:rPr>
          <w:rStyle w:val="FootnoteReference"/>
          <w:rFonts w:ascii="Book Antiqua" w:hAnsi="Book Antiqua"/>
          <w:sz w:val="18"/>
          <w:szCs w:val="18"/>
        </w:rPr>
        <w:footnoteRef/>
      </w:r>
      <w:r w:rsidRPr="00432AB5">
        <w:rPr>
          <w:rFonts w:ascii="Book Antiqua" w:hAnsi="Book Antiqua"/>
          <w:sz w:val="18"/>
          <w:szCs w:val="18"/>
          <w:lang w:val="sr-Latn-RS"/>
        </w:rPr>
        <w:t xml:space="preserve"> Presuda Evropskog suda za ljudska prava, 55759/07, Predmet: Maresti protiv Hrvatske, 25.6.2009.</w:t>
      </w:r>
      <w:r>
        <w:rPr>
          <w:rFonts w:ascii="Book Antiqua" w:hAnsi="Book Antiqua"/>
          <w:sz w:val="18"/>
          <w:szCs w:val="18"/>
          <w:lang w:val="sr-Latn-RS"/>
        </w:rPr>
        <w:t xml:space="preserve"> </w:t>
      </w:r>
      <w:r w:rsidRPr="00432AB5">
        <w:rPr>
          <w:rFonts w:ascii="Book Antiqua" w:hAnsi="Book Antiqua"/>
          <w:sz w:val="18"/>
          <w:szCs w:val="18"/>
          <w:lang w:val="sr-Latn-RS"/>
        </w:rPr>
        <w:t>godine</w:t>
      </w:r>
    </w:p>
  </w:footnote>
  <w:footnote w:id="95">
    <w:p w:rsidR="007C327E" w:rsidRPr="00432AB5" w:rsidRDefault="007C327E" w:rsidP="007C327E">
      <w:pPr>
        <w:pStyle w:val="FootnoteText"/>
        <w:jc w:val="both"/>
        <w:rPr>
          <w:rFonts w:ascii="Book Antiqua" w:hAnsi="Book Antiqua"/>
          <w:sz w:val="18"/>
          <w:szCs w:val="18"/>
          <w:lang w:val="sr-Latn-RS"/>
        </w:rPr>
      </w:pPr>
      <w:r w:rsidRPr="00432AB5">
        <w:rPr>
          <w:rStyle w:val="FootnoteReference"/>
          <w:rFonts w:ascii="Book Antiqua" w:hAnsi="Book Antiqua"/>
          <w:sz w:val="18"/>
          <w:szCs w:val="18"/>
        </w:rPr>
        <w:footnoteRef/>
      </w:r>
      <w:r w:rsidRPr="00432AB5">
        <w:rPr>
          <w:rFonts w:ascii="Book Antiqua" w:hAnsi="Book Antiqua"/>
          <w:sz w:val="18"/>
          <w:szCs w:val="18"/>
        </w:rPr>
        <w:t xml:space="preserve"> </w:t>
      </w:r>
      <w:r w:rsidRPr="00432AB5">
        <w:rPr>
          <w:rFonts w:ascii="Book Antiqua" w:hAnsi="Book Antiqua"/>
          <w:sz w:val="18"/>
          <w:szCs w:val="18"/>
          <w:lang w:val="sr-Latn-RS"/>
        </w:rPr>
        <w:t>Odluka Ustavnog suda Republike Srbije, Už 1285/2012, iz 2014. godine</w:t>
      </w:r>
    </w:p>
  </w:footnote>
  <w:footnote w:id="96">
    <w:p w:rsidR="007C327E" w:rsidRPr="00432AB5" w:rsidRDefault="007C327E" w:rsidP="007C327E">
      <w:pPr>
        <w:pStyle w:val="FootnoteText"/>
        <w:jc w:val="both"/>
        <w:rPr>
          <w:rFonts w:ascii="Book Antiqua" w:hAnsi="Book Antiqua"/>
          <w:sz w:val="18"/>
          <w:szCs w:val="18"/>
          <w:lang w:val="en-US"/>
        </w:rPr>
      </w:pPr>
      <w:r w:rsidRPr="00432AB5">
        <w:rPr>
          <w:rStyle w:val="FootnoteReference"/>
          <w:rFonts w:ascii="Book Antiqua" w:hAnsi="Book Antiqua"/>
          <w:sz w:val="18"/>
          <w:szCs w:val="18"/>
        </w:rPr>
        <w:footnoteRef/>
      </w:r>
      <w:r w:rsidRPr="00432AB5">
        <w:rPr>
          <w:rFonts w:ascii="Book Antiqua" w:hAnsi="Book Antiqua"/>
          <w:sz w:val="18"/>
          <w:szCs w:val="18"/>
        </w:rPr>
        <w:t xml:space="preserve"> </w:t>
      </w:r>
      <w:r w:rsidRPr="00432AB5">
        <w:rPr>
          <w:rFonts w:ascii="Book Antiqua" w:hAnsi="Book Antiqua"/>
          <w:i/>
          <w:sz w:val="18"/>
          <w:szCs w:val="18"/>
          <w:lang w:val="sr-Latn-RS"/>
        </w:rPr>
        <w:t>Ibid.</w:t>
      </w:r>
    </w:p>
  </w:footnote>
  <w:footnote w:id="97">
    <w:p w:rsidR="00E60125" w:rsidRPr="00E60125" w:rsidRDefault="00E60125">
      <w:pPr>
        <w:pStyle w:val="FootnoteText"/>
        <w:rPr>
          <w:lang w:val="sr-Latn-RS"/>
        </w:rPr>
      </w:pPr>
      <w:r>
        <w:rPr>
          <w:rStyle w:val="FootnoteReference"/>
        </w:rPr>
        <w:footnoteRef/>
      </w:r>
      <w:r>
        <w:t xml:space="preserve"> </w:t>
      </w:r>
      <w:r w:rsidRPr="00E60125">
        <w:rPr>
          <w:rFonts w:ascii="Book Antiqua" w:hAnsi="Book Antiqua"/>
          <w:sz w:val="18"/>
          <w:szCs w:val="18"/>
          <w:lang w:val="sr-Latn-RS"/>
        </w:rPr>
        <w:t>Presuda Vrhovnog kasacionog suda, Kzz 17/2016, od 26.01.2016.godine</w:t>
      </w:r>
    </w:p>
  </w:footnote>
  <w:footnote w:id="98">
    <w:p w:rsidR="000E590A" w:rsidRPr="00044C41" w:rsidRDefault="000E590A" w:rsidP="000E590A">
      <w:pPr>
        <w:pStyle w:val="FootnoteText"/>
        <w:rPr>
          <w:rFonts w:ascii="Book Antiqua" w:hAnsi="Book Antiqua"/>
          <w:sz w:val="18"/>
          <w:szCs w:val="18"/>
          <w:lang w:val="sr-Latn-RS"/>
        </w:rPr>
      </w:pPr>
      <w:r>
        <w:rPr>
          <w:rStyle w:val="FootnoteReference"/>
        </w:rPr>
        <w:footnoteRef/>
      </w:r>
      <w:r>
        <w:t xml:space="preserve"> </w:t>
      </w:r>
      <w:r w:rsidRPr="00044C41">
        <w:rPr>
          <w:rFonts w:ascii="Book Antiqua" w:hAnsi="Book Antiqua"/>
          <w:sz w:val="18"/>
          <w:szCs w:val="18"/>
          <w:lang w:val="sr-Latn-RS"/>
        </w:rPr>
        <w:t xml:space="preserve">Republički zavod za statistiku, </w:t>
      </w:r>
      <w:hyperlink r:id="rId5" w:history="1">
        <w:r w:rsidRPr="00D8512A">
          <w:rPr>
            <w:rStyle w:val="Hyperlink"/>
            <w:rFonts w:ascii="Book Antiqua" w:hAnsi="Book Antiqua"/>
            <w:sz w:val="18"/>
            <w:szCs w:val="18"/>
            <w:lang w:val="sr-Latn-RS"/>
          </w:rPr>
          <w:t>http://www.stat.gov.rs/</w:t>
        </w:r>
      </w:hyperlink>
      <w:r>
        <w:rPr>
          <w:rFonts w:ascii="Book Antiqua" w:hAnsi="Book Antiqua"/>
          <w:sz w:val="18"/>
          <w:szCs w:val="18"/>
          <w:lang w:val="sr-Latn-RS"/>
        </w:rPr>
        <w:t xml:space="preserve">, pristupljeno dana 16.12.2016.godine </w:t>
      </w:r>
    </w:p>
  </w:footnote>
  <w:footnote w:id="99">
    <w:p w:rsidR="000E590A" w:rsidRPr="008C3AB0" w:rsidRDefault="000E590A" w:rsidP="000E590A">
      <w:pPr>
        <w:pStyle w:val="FootnoteText"/>
        <w:rPr>
          <w:lang w:val="sr-Latn-RS"/>
        </w:rPr>
      </w:pPr>
      <w:r>
        <w:rPr>
          <w:rStyle w:val="FootnoteReference"/>
        </w:rPr>
        <w:footnoteRef/>
      </w:r>
      <w:r>
        <w:t xml:space="preserve"> </w:t>
      </w:r>
      <w:r w:rsidRPr="00044C41">
        <w:rPr>
          <w:rFonts w:ascii="Book Antiqua" w:hAnsi="Book Antiqua"/>
          <w:sz w:val="18"/>
          <w:szCs w:val="18"/>
          <w:lang w:val="sr-Latn-RS"/>
        </w:rPr>
        <w:t xml:space="preserve">Republički zavod za statistiku, </w:t>
      </w:r>
      <w:hyperlink r:id="rId6" w:history="1">
        <w:r w:rsidRPr="00D8512A">
          <w:rPr>
            <w:rStyle w:val="Hyperlink"/>
            <w:rFonts w:ascii="Book Antiqua" w:hAnsi="Book Antiqua"/>
            <w:sz w:val="18"/>
            <w:szCs w:val="18"/>
            <w:lang w:val="sr-Latn-RS"/>
          </w:rPr>
          <w:t>http://www.stat.gov.rs/</w:t>
        </w:r>
      </w:hyperlink>
      <w:r>
        <w:rPr>
          <w:rFonts w:ascii="Book Antiqua" w:hAnsi="Book Antiqua"/>
          <w:sz w:val="18"/>
          <w:szCs w:val="18"/>
          <w:lang w:val="sr-Latn-RS"/>
        </w:rPr>
        <w:t>, pristupljeno dana 16.12.2016.godine</w:t>
      </w:r>
    </w:p>
  </w:footnote>
  <w:footnote w:id="100">
    <w:p w:rsidR="000E590A" w:rsidRPr="00A62BCC" w:rsidRDefault="000E590A" w:rsidP="000E590A">
      <w:pPr>
        <w:pStyle w:val="FootnoteText"/>
        <w:rPr>
          <w:lang w:val="sr-Latn-RS"/>
        </w:rPr>
      </w:pPr>
      <w:r>
        <w:rPr>
          <w:rStyle w:val="FootnoteReference"/>
        </w:rPr>
        <w:footnoteRef/>
      </w:r>
      <w:r>
        <w:t xml:space="preserve"> </w:t>
      </w:r>
      <w:r w:rsidR="009B3930" w:rsidRPr="009B3930">
        <w:rPr>
          <w:rFonts w:ascii="Book Antiqua" w:hAnsi="Book Antiqua"/>
          <w:i/>
          <w:sz w:val="18"/>
          <w:szCs w:val="18"/>
          <w:lang w:val="sr-Latn-RS"/>
        </w:rPr>
        <w:t>Ibid.</w:t>
      </w:r>
    </w:p>
  </w:footnote>
  <w:footnote w:id="101">
    <w:p w:rsidR="000E590A" w:rsidRPr="008C3AB0" w:rsidRDefault="000E590A" w:rsidP="000E590A">
      <w:pPr>
        <w:pStyle w:val="FootnoteText"/>
        <w:rPr>
          <w:lang w:val="sr-Latn-RS"/>
        </w:rPr>
      </w:pPr>
      <w:r>
        <w:rPr>
          <w:rStyle w:val="FootnoteReference"/>
        </w:rPr>
        <w:footnoteRef/>
      </w:r>
      <w:r>
        <w:t xml:space="preserve"> </w:t>
      </w:r>
      <w:r w:rsidR="009B3930" w:rsidRPr="009B3930">
        <w:rPr>
          <w:rFonts w:ascii="Book Antiqua" w:hAnsi="Book Antiqua"/>
          <w:i/>
          <w:sz w:val="18"/>
          <w:szCs w:val="18"/>
          <w:lang w:val="sr-Latn-RS"/>
        </w:rPr>
        <w:t>Ibid.</w:t>
      </w:r>
    </w:p>
  </w:footnote>
  <w:footnote w:id="102">
    <w:p w:rsidR="000E590A" w:rsidRPr="000A7281" w:rsidRDefault="000E590A" w:rsidP="000E590A">
      <w:pPr>
        <w:pStyle w:val="FootnoteText"/>
        <w:rPr>
          <w:lang w:val="sr-Latn-RS"/>
        </w:rPr>
      </w:pPr>
      <w:r>
        <w:rPr>
          <w:rStyle w:val="FootnoteReference"/>
        </w:rPr>
        <w:footnoteRef/>
      </w:r>
      <w:r>
        <w:t xml:space="preserve"> </w:t>
      </w:r>
      <w:r w:rsidRPr="000A7281">
        <w:rPr>
          <w:rFonts w:ascii="Book Antiqua" w:hAnsi="Book Antiqua"/>
          <w:i/>
          <w:sz w:val="18"/>
          <w:szCs w:val="18"/>
          <w:lang w:val="sr-Latn-RS"/>
        </w:rPr>
        <w:t>Ibid.</w:t>
      </w:r>
    </w:p>
  </w:footnote>
  <w:footnote w:id="103">
    <w:p w:rsidR="000E590A" w:rsidRPr="002F2D20" w:rsidRDefault="000E590A" w:rsidP="000E590A">
      <w:pPr>
        <w:pStyle w:val="FootnoteText"/>
        <w:rPr>
          <w:rFonts w:ascii="Book Antiqua" w:hAnsi="Book Antiqua"/>
          <w:sz w:val="18"/>
          <w:szCs w:val="18"/>
          <w:lang w:val="sr-Latn-RS"/>
        </w:rPr>
      </w:pPr>
      <w:r>
        <w:rPr>
          <w:rStyle w:val="FootnoteReference"/>
        </w:rPr>
        <w:footnoteRef/>
      </w:r>
      <w:r>
        <w:t xml:space="preserve"> </w:t>
      </w:r>
      <w:r w:rsidRPr="002F2D20">
        <w:rPr>
          <w:rFonts w:ascii="Book Antiqua" w:hAnsi="Book Antiqua"/>
          <w:sz w:val="18"/>
          <w:szCs w:val="18"/>
          <w:lang w:val="sr-Latn-RS"/>
        </w:rPr>
        <w:t xml:space="preserve">Republički zavod za socijalnu zaštitu, </w:t>
      </w:r>
      <w:r w:rsidRPr="002F2D20">
        <w:rPr>
          <w:rFonts w:ascii="Book Antiqua" w:hAnsi="Book Antiqua"/>
          <w:i/>
          <w:sz w:val="18"/>
          <w:szCs w:val="18"/>
          <w:lang w:val="sr-Latn-RS"/>
        </w:rPr>
        <w:t>Deca u sistemu socijalne zaštite 2015</w:t>
      </w:r>
      <w:r w:rsidRPr="002F2D20">
        <w:rPr>
          <w:rFonts w:ascii="Book Antiqua" w:hAnsi="Book Antiqua"/>
          <w:sz w:val="18"/>
          <w:szCs w:val="18"/>
          <w:lang w:val="sr-Latn-RS"/>
        </w:rPr>
        <w:t xml:space="preserve">, Beograd, jul 2016, </w:t>
      </w:r>
      <w:hyperlink r:id="rId7" w:history="1">
        <w:r w:rsidRPr="002F2D20">
          <w:rPr>
            <w:rFonts w:ascii="Book Antiqua" w:hAnsi="Book Antiqua"/>
            <w:sz w:val="18"/>
            <w:szCs w:val="18"/>
            <w:lang w:val="sr-Latn-RS"/>
          </w:rPr>
          <w:t>http://www.zavodsz.gov.rs/PDF/izvestaj2016/deca%20u%20sistemu%20socijalne%20zastite%202015.pdf</w:t>
        </w:r>
      </w:hyperlink>
    </w:p>
  </w:footnote>
  <w:footnote w:id="104">
    <w:p w:rsidR="000E590A" w:rsidRPr="002F2D20" w:rsidRDefault="000E590A" w:rsidP="000E590A">
      <w:pPr>
        <w:pStyle w:val="FootnoteText"/>
        <w:rPr>
          <w:rFonts w:ascii="Book Antiqua" w:hAnsi="Book Antiqua"/>
          <w:sz w:val="18"/>
          <w:szCs w:val="18"/>
          <w:lang w:val="sr-Latn-RS"/>
        </w:rPr>
      </w:pPr>
      <w:r>
        <w:rPr>
          <w:rStyle w:val="FootnoteReference"/>
        </w:rPr>
        <w:footnoteRef/>
      </w:r>
      <w:r>
        <w:t xml:space="preserve"> </w:t>
      </w:r>
      <w:r w:rsidRPr="00A07AC1">
        <w:rPr>
          <w:rFonts w:ascii="Book Antiqua" w:hAnsi="Book Antiqua"/>
          <w:i/>
          <w:sz w:val="18"/>
          <w:szCs w:val="18"/>
          <w:lang w:val="sr-Latn-RS"/>
        </w:rPr>
        <w:t>Ibid.</w:t>
      </w:r>
    </w:p>
  </w:footnote>
  <w:footnote w:id="105">
    <w:p w:rsidR="000E590A" w:rsidRPr="00A07AC1" w:rsidRDefault="000E590A" w:rsidP="000E590A">
      <w:pPr>
        <w:pStyle w:val="FootnoteText"/>
        <w:rPr>
          <w:lang w:val="sr-Latn-RS"/>
        </w:rPr>
      </w:pPr>
      <w:r>
        <w:rPr>
          <w:rStyle w:val="FootnoteReference"/>
        </w:rPr>
        <w:footnoteRef/>
      </w:r>
      <w:r>
        <w:t xml:space="preserve"> </w:t>
      </w:r>
      <w:r w:rsidRPr="00A07AC1">
        <w:rPr>
          <w:rFonts w:ascii="Book Antiqua" w:hAnsi="Book Antiqua"/>
          <w:i/>
          <w:sz w:val="18"/>
          <w:szCs w:val="18"/>
          <w:lang w:val="sr-Latn-RS"/>
        </w:rPr>
        <w:t>Ibid.</w:t>
      </w:r>
    </w:p>
  </w:footnote>
  <w:footnote w:id="106">
    <w:p w:rsidR="000E590A" w:rsidRPr="00161192" w:rsidRDefault="000E590A" w:rsidP="000E590A">
      <w:pPr>
        <w:pStyle w:val="FootnoteText"/>
        <w:rPr>
          <w:lang w:val="sr-Latn-RS"/>
        </w:rPr>
      </w:pPr>
      <w:r>
        <w:rPr>
          <w:rStyle w:val="FootnoteReference"/>
        </w:rPr>
        <w:footnoteRef/>
      </w:r>
      <w:r>
        <w:t xml:space="preserve"> </w:t>
      </w:r>
      <w:r w:rsidRPr="00161192">
        <w:rPr>
          <w:rFonts w:ascii="Book Antiqua" w:hAnsi="Book Antiqua"/>
          <w:sz w:val="18"/>
          <w:szCs w:val="18"/>
          <w:lang w:val="sr-Latn-RS"/>
        </w:rPr>
        <w:t xml:space="preserve">Republički zavod za socijalnu zaštitu, </w:t>
      </w:r>
      <w:r w:rsidRPr="00161192">
        <w:rPr>
          <w:rFonts w:ascii="Book Antiqua" w:hAnsi="Book Antiqua"/>
          <w:i/>
          <w:sz w:val="18"/>
          <w:szCs w:val="18"/>
          <w:lang w:val="sr-Latn-RS"/>
        </w:rPr>
        <w:t>Izveštaj o radu Centara za socijalni rad za 2015.godinu</w:t>
      </w:r>
      <w:r w:rsidRPr="00161192">
        <w:rPr>
          <w:rFonts w:ascii="Book Antiqua" w:hAnsi="Book Antiqua"/>
          <w:sz w:val="18"/>
          <w:szCs w:val="18"/>
          <w:lang w:val="sr-Latn-RS"/>
        </w:rPr>
        <w:t>, Beograd, jul 2016.godine, http://www.zavodsz.gov.rs/PDF/izvestaj2016/izvestaj%20o%20radu%20CSR%20za%202015.pdf</w:t>
      </w:r>
    </w:p>
  </w:footnote>
  <w:footnote w:id="107">
    <w:p w:rsidR="000E590A" w:rsidRPr="00E90E7E" w:rsidRDefault="000E590A" w:rsidP="000E590A">
      <w:pPr>
        <w:pStyle w:val="FootnoteText"/>
        <w:rPr>
          <w:lang w:val="sr-Latn-RS"/>
        </w:rPr>
      </w:pPr>
      <w:r>
        <w:rPr>
          <w:rStyle w:val="FootnoteReference"/>
        </w:rPr>
        <w:footnoteRef/>
      </w:r>
      <w:r>
        <w:t xml:space="preserve"> </w:t>
      </w:r>
      <w:r w:rsidRPr="00E90E7E">
        <w:rPr>
          <w:rFonts w:ascii="Book Antiqua" w:hAnsi="Book Antiqua"/>
          <w:sz w:val="18"/>
          <w:szCs w:val="18"/>
          <w:lang w:val="sr-Latn-RS"/>
        </w:rPr>
        <w:t>Kako do pravosuđa po meri deteta - Položaj deteta u građanskim sudskim postupcima u Republici Srbiji - poštovanje i ostvarivanje prava na participaciju i najbolje interese deteta u sudskim postupcima, Centar za prava deteta, Beograd, 2015</w:t>
      </w:r>
      <w:r>
        <w:rPr>
          <w:rFonts w:ascii="Book Antiqua" w:hAnsi="Book Antiqua"/>
          <w:sz w:val="18"/>
          <w:szCs w:val="18"/>
          <w:lang w:val="sr-Latn-RS"/>
        </w:rPr>
        <w:t>, str 15-16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23EB8"/>
    <w:multiLevelType w:val="hybridMultilevel"/>
    <w:tmpl w:val="3A9AB4B6"/>
    <w:lvl w:ilvl="0" w:tplc="15BE907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DC38B7"/>
    <w:multiLevelType w:val="multilevel"/>
    <w:tmpl w:val="705876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13D07B6"/>
    <w:multiLevelType w:val="hybridMultilevel"/>
    <w:tmpl w:val="D5AA5E84"/>
    <w:lvl w:ilvl="0" w:tplc="8AF8F80E">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11FAB"/>
    <w:multiLevelType w:val="multilevel"/>
    <w:tmpl w:val="705876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8A52B4C"/>
    <w:multiLevelType w:val="multilevel"/>
    <w:tmpl w:val="ACBEAB5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F3F47D0"/>
    <w:multiLevelType w:val="hybridMultilevel"/>
    <w:tmpl w:val="BA666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965326"/>
    <w:multiLevelType w:val="multilevel"/>
    <w:tmpl w:val="D58269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9DC4671"/>
    <w:multiLevelType w:val="hybridMultilevel"/>
    <w:tmpl w:val="A8D8D5E6"/>
    <w:lvl w:ilvl="0" w:tplc="DA64D8FA">
      <w:start w:val="1"/>
      <w:numFmt w:val="decimal"/>
      <w:lvlText w:val="%1."/>
      <w:lvlJc w:val="left"/>
      <w:pPr>
        <w:ind w:left="720" w:hanging="360"/>
      </w:pPr>
      <w:rPr>
        <w:rFonts w:ascii="Book Antiqua" w:hAnsi="Book Antiqua"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1"/>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69"/>
    <w:rsid w:val="0001097C"/>
    <w:rsid w:val="0001613F"/>
    <w:rsid w:val="00030C29"/>
    <w:rsid w:val="0003376F"/>
    <w:rsid w:val="0004106E"/>
    <w:rsid w:val="000449D0"/>
    <w:rsid w:val="00044C41"/>
    <w:rsid w:val="000609EB"/>
    <w:rsid w:val="00062963"/>
    <w:rsid w:val="000648BF"/>
    <w:rsid w:val="00073725"/>
    <w:rsid w:val="0009689E"/>
    <w:rsid w:val="000A17D1"/>
    <w:rsid w:val="000A3F3C"/>
    <w:rsid w:val="000A7281"/>
    <w:rsid w:val="000B6EB9"/>
    <w:rsid w:val="000C204C"/>
    <w:rsid w:val="000C2932"/>
    <w:rsid w:val="000C67EA"/>
    <w:rsid w:val="000C6B39"/>
    <w:rsid w:val="000C7FF8"/>
    <w:rsid w:val="000D715C"/>
    <w:rsid w:val="000E590A"/>
    <w:rsid w:val="000E75B0"/>
    <w:rsid w:val="000F378A"/>
    <w:rsid w:val="00104329"/>
    <w:rsid w:val="00113013"/>
    <w:rsid w:val="00113EAA"/>
    <w:rsid w:val="0014310B"/>
    <w:rsid w:val="0014497A"/>
    <w:rsid w:val="001515B9"/>
    <w:rsid w:val="00152919"/>
    <w:rsid w:val="00153262"/>
    <w:rsid w:val="00162BDE"/>
    <w:rsid w:val="0016368E"/>
    <w:rsid w:val="001662DA"/>
    <w:rsid w:val="00171281"/>
    <w:rsid w:val="00177467"/>
    <w:rsid w:val="00187EE5"/>
    <w:rsid w:val="00190997"/>
    <w:rsid w:val="001915EF"/>
    <w:rsid w:val="001B4F33"/>
    <w:rsid w:val="001C3B19"/>
    <w:rsid w:val="001D5A12"/>
    <w:rsid w:val="001E0FF8"/>
    <w:rsid w:val="001E34E3"/>
    <w:rsid w:val="00201528"/>
    <w:rsid w:val="00213355"/>
    <w:rsid w:val="0021689D"/>
    <w:rsid w:val="002422DE"/>
    <w:rsid w:val="00257234"/>
    <w:rsid w:val="00261D02"/>
    <w:rsid w:val="00263BFF"/>
    <w:rsid w:val="002643DA"/>
    <w:rsid w:val="00272B7B"/>
    <w:rsid w:val="00282F2D"/>
    <w:rsid w:val="00284F7E"/>
    <w:rsid w:val="00287FB2"/>
    <w:rsid w:val="002A157A"/>
    <w:rsid w:val="002A7AF9"/>
    <w:rsid w:val="002B221D"/>
    <w:rsid w:val="002B71DC"/>
    <w:rsid w:val="002C13AD"/>
    <w:rsid w:val="002C5537"/>
    <w:rsid w:val="002C61D7"/>
    <w:rsid w:val="002C7871"/>
    <w:rsid w:val="002D1852"/>
    <w:rsid w:val="002D5A4E"/>
    <w:rsid w:val="002D7841"/>
    <w:rsid w:val="002E38AC"/>
    <w:rsid w:val="002E7B41"/>
    <w:rsid w:val="002E7BB0"/>
    <w:rsid w:val="002F2D20"/>
    <w:rsid w:val="00304984"/>
    <w:rsid w:val="003054A8"/>
    <w:rsid w:val="0032339E"/>
    <w:rsid w:val="003277C7"/>
    <w:rsid w:val="003376EB"/>
    <w:rsid w:val="0034156C"/>
    <w:rsid w:val="003507B2"/>
    <w:rsid w:val="00354025"/>
    <w:rsid w:val="00357AF9"/>
    <w:rsid w:val="00364FF1"/>
    <w:rsid w:val="00385A07"/>
    <w:rsid w:val="003A7881"/>
    <w:rsid w:val="003B5FF8"/>
    <w:rsid w:val="003C7786"/>
    <w:rsid w:val="003D2A70"/>
    <w:rsid w:val="003D332E"/>
    <w:rsid w:val="003D497D"/>
    <w:rsid w:val="00403639"/>
    <w:rsid w:val="00410A7C"/>
    <w:rsid w:val="004322B1"/>
    <w:rsid w:val="004630EB"/>
    <w:rsid w:val="00463A13"/>
    <w:rsid w:val="00464A79"/>
    <w:rsid w:val="00470827"/>
    <w:rsid w:val="00487911"/>
    <w:rsid w:val="004950B6"/>
    <w:rsid w:val="004D4AF6"/>
    <w:rsid w:val="004D6174"/>
    <w:rsid w:val="004F032F"/>
    <w:rsid w:val="004F6887"/>
    <w:rsid w:val="00500BC0"/>
    <w:rsid w:val="0051119A"/>
    <w:rsid w:val="0052081B"/>
    <w:rsid w:val="00530C4B"/>
    <w:rsid w:val="00531ED7"/>
    <w:rsid w:val="00537FDA"/>
    <w:rsid w:val="0055125F"/>
    <w:rsid w:val="005666AF"/>
    <w:rsid w:val="00566AD5"/>
    <w:rsid w:val="00567FA1"/>
    <w:rsid w:val="00572E3D"/>
    <w:rsid w:val="005765D0"/>
    <w:rsid w:val="005A4345"/>
    <w:rsid w:val="005B3528"/>
    <w:rsid w:val="005B66BA"/>
    <w:rsid w:val="005D159F"/>
    <w:rsid w:val="005E0DEE"/>
    <w:rsid w:val="005F09E1"/>
    <w:rsid w:val="005F37D8"/>
    <w:rsid w:val="00611541"/>
    <w:rsid w:val="00617155"/>
    <w:rsid w:val="0061730B"/>
    <w:rsid w:val="006207C8"/>
    <w:rsid w:val="0064609D"/>
    <w:rsid w:val="00651066"/>
    <w:rsid w:val="006514AC"/>
    <w:rsid w:val="00652744"/>
    <w:rsid w:val="006533E4"/>
    <w:rsid w:val="0067099C"/>
    <w:rsid w:val="00674B1A"/>
    <w:rsid w:val="006755F7"/>
    <w:rsid w:val="00681A69"/>
    <w:rsid w:val="006A5C5B"/>
    <w:rsid w:val="006B3CAA"/>
    <w:rsid w:val="006B54CA"/>
    <w:rsid w:val="006C5338"/>
    <w:rsid w:val="006D1F22"/>
    <w:rsid w:val="006D3919"/>
    <w:rsid w:val="006E1247"/>
    <w:rsid w:val="006E1A55"/>
    <w:rsid w:val="006F4F0E"/>
    <w:rsid w:val="00703B1D"/>
    <w:rsid w:val="00711F43"/>
    <w:rsid w:val="00727880"/>
    <w:rsid w:val="00743A19"/>
    <w:rsid w:val="00744BB6"/>
    <w:rsid w:val="0075237E"/>
    <w:rsid w:val="00763249"/>
    <w:rsid w:val="00766C0D"/>
    <w:rsid w:val="007C1780"/>
    <w:rsid w:val="007C327E"/>
    <w:rsid w:val="007D3A01"/>
    <w:rsid w:val="007D7580"/>
    <w:rsid w:val="007F06A6"/>
    <w:rsid w:val="007F3E12"/>
    <w:rsid w:val="007F503A"/>
    <w:rsid w:val="008064F5"/>
    <w:rsid w:val="00821DFD"/>
    <w:rsid w:val="00842F08"/>
    <w:rsid w:val="008554F6"/>
    <w:rsid w:val="00856520"/>
    <w:rsid w:val="008703A0"/>
    <w:rsid w:val="0088491E"/>
    <w:rsid w:val="008B143E"/>
    <w:rsid w:val="008B235F"/>
    <w:rsid w:val="008D6641"/>
    <w:rsid w:val="008E1841"/>
    <w:rsid w:val="00902FE4"/>
    <w:rsid w:val="009149FA"/>
    <w:rsid w:val="00930B1B"/>
    <w:rsid w:val="00934A3B"/>
    <w:rsid w:val="00942103"/>
    <w:rsid w:val="009536E7"/>
    <w:rsid w:val="00955ED6"/>
    <w:rsid w:val="0096357E"/>
    <w:rsid w:val="00974C98"/>
    <w:rsid w:val="00975C32"/>
    <w:rsid w:val="0099134C"/>
    <w:rsid w:val="009921DE"/>
    <w:rsid w:val="009B3930"/>
    <w:rsid w:val="009C3646"/>
    <w:rsid w:val="009E1B03"/>
    <w:rsid w:val="00A10785"/>
    <w:rsid w:val="00A20588"/>
    <w:rsid w:val="00A2585B"/>
    <w:rsid w:val="00A34BC4"/>
    <w:rsid w:val="00A37DE5"/>
    <w:rsid w:val="00A41D5F"/>
    <w:rsid w:val="00A43369"/>
    <w:rsid w:val="00A44B25"/>
    <w:rsid w:val="00A55FE7"/>
    <w:rsid w:val="00A5650A"/>
    <w:rsid w:val="00A57744"/>
    <w:rsid w:val="00A62BCC"/>
    <w:rsid w:val="00A6526F"/>
    <w:rsid w:val="00A733E3"/>
    <w:rsid w:val="00A91A5B"/>
    <w:rsid w:val="00AB0C51"/>
    <w:rsid w:val="00AC7A63"/>
    <w:rsid w:val="00AD72A1"/>
    <w:rsid w:val="00AE7209"/>
    <w:rsid w:val="00B029BC"/>
    <w:rsid w:val="00B175AF"/>
    <w:rsid w:val="00B36E66"/>
    <w:rsid w:val="00B377F0"/>
    <w:rsid w:val="00B61F74"/>
    <w:rsid w:val="00B64E31"/>
    <w:rsid w:val="00B873FD"/>
    <w:rsid w:val="00B90645"/>
    <w:rsid w:val="00B96965"/>
    <w:rsid w:val="00BA3548"/>
    <w:rsid w:val="00BC0EDE"/>
    <w:rsid w:val="00BD3DCC"/>
    <w:rsid w:val="00BD7D4C"/>
    <w:rsid w:val="00BF417C"/>
    <w:rsid w:val="00C17317"/>
    <w:rsid w:val="00C40B9D"/>
    <w:rsid w:val="00C57428"/>
    <w:rsid w:val="00C77D23"/>
    <w:rsid w:val="00C84257"/>
    <w:rsid w:val="00C861E1"/>
    <w:rsid w:val="00C938B9"/>
    <w:rsid w:val="00CE1653"/>
    <w:rsid w:val="00CE2B5A"/>
    <w:rsid w:val="00CE2F17"/>
    <w:rsid w:val="00CF0FFE"/>
    <w:rsid w:val="00D15C06"/>
    <w:rsid w:val="00D200FB"/>
    <w:rsid w:val="00D40C13"/>
    <w:rsid w:val="00D431E1"/>
    <w:rsid w:val="00D431E4"/>
    <w:rsid w:val="00D44C18"/>
    <w:rsid w:val="00D46D5F"/>
    <w:rsid w:val="00D50687"/>
    <w:rsid w:val="00D5149A"/>
    <w:rsid w:val="00D61C82"/>
    <w:rsid w:val="00D61F9F"/>
    <w:rsid w:val="00D755AA"/>
    <w:rsid w:val="00D81FDA"/>
    <w:rsid w:val="00DA6BF1"/>
    <w:rsid w:val="00DB5D10"/>
    <w:rsid w:val="00DC14C0"/>
    <w:rsid w:val="00DF35B9"/>
    <w:rsid w:val="00E058BC"/>
    <w:rsid w:val="00E24133"/>
    <w:rsid w:val="00E261EF"/>
    <w:rsid w:val="00E4045D"/>
    <w:rsid w:val="00E5563E"/>
    <w:rsid w:val="00E60125"/>
    <w:rsid w:val="00E605E4"/>
    <w:rsid w:val="00E620B2"/>
    <w:rsid w:val="00E74395"/>
    <w:rsid w:val="00E80690"/>
    <w:rsid w:val="00E860EC"/>
    <w:rsid w:val="00E90959"/>
    <w:rsid w:val="00E90E7E"/>
    <w:rsid w:val="00EA3974"/>
    <w:rsid w:val="00EA7D12"/>
    <w:rsid w:val="00EB019E"/>
    <w:rsid w:val="00ED00F2"/>
    <w:rsid w:val="00EF186C"/>
    <w:rsid w:val="00F05399"/>
    <w:rsid w:val="00F11B51"/>
    <w:rsid w:val="00F20F8E"/>
    <w:rsid w:val="00F335B3"/>
    <w:rsid w:val="00F61F5F"/>
    <w:rsid w:val="00F70F71"/>
    <w:rsid w:val="00F72EFF"/>
    <w:rsid w:val="00F850C3"/>
    <w:rsid w:val="00F9462E"/>
    <w:rsid w:val="00F94883"/>
    <w:rsid w:val="00F9583D"/>
    <w:rsid w:val="00FA118A"/>
    <w:rsid w:val="00FB6F13"/>
    <w:rsid w:val="00FC6927"/>
    <w:rsid w:val="00FD39E7"/>
    <w:rsid w:val="00FD68EA"/>
    <w:rsid w:val="00FD737B"/>
    <w:rsid w:val="00FE02CA"/>
    <w:rsid w:val="00FE1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195B51-DF16-4AA3-9DC0-A3CDD479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500B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0B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6B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6368E"/>
    <w:pPr>
      <w:spacing w:after="0" w:line="240" w:lineRule="auto"/>
    </w:pPr>
    <w:rPr>
      <w:sz w:val="20"/>
      <w:szCs w:val="20"/>
    </w:rPr>
  </w:style>
  <w:style w:type="character" w:customStyle="1" w:styleId="FootnoteTextChar">
    <w:name w:val="Footnote Text Char"/>
    <w:basedOn w:val="DefaultParagraphFont"/>
    <w:link w:val="FootnoteText"/>
    <w:uiPriority w:val="99"/>
    <w:rsid w:val="0016368E"/>
    <w:rPr>
      <w:sz w:val="20"/>
      <w:szCs w:val="20"/>
      <w:lang w:val="en-GB"/>
    </w:rPr>
  </w:style>
  <w:style w:type="character" w:styleId="FootnoteReference">
    <w:name w:val="footnote reference"/>
    <w:basedOn w:val="DefaultParagraphFont"/>
    <w:uiPriority w:val="99"/>
    <w:unhideWhenUsed/>
    <w:rsid w:val="0016368E"/>
    <w:rPr>
      <w:vertAlign w:val="superscript"/>
    </w:rPr>
  </w:style>
  <w:style w:type="paragraph" w:styleId="ListParagraph">
    <w:name w:val="List Paragraph"/>
    <w:basedOn w:val="Normal"/>
    <w:uiPriority w:val="34"/>
    <w:qFormat/>
    <w:rsid w:val="004D4AF6"/>
    <w:pPr>
      <w:ind w:left="720"/>
      <w:contextualSpacing/>
    </w:pPr>
  </w:style>
  <w:style w:type="character" w:customStyle="1" w:styleId="Heading1Char">
    <w:name w:val="Heading 1 Char"/>
    <w:basedOn w:val="DefaultParagraphFont"/>
    <w:link w:val="Heading1"/>
    <w:uiPriority w:val="9"/>
    <w:rsid w:val="00500BC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500BC0"/>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0C6B39"/>
    <w:rPr>
      <w:rFonts w:asciiTheme="majorHAnsi" w:eastAsiaTheme="majorEastAsia" w:hAnsiTheme="majorHAnsi" w:cstheme="majorBidi"/>
      <w:b/>
      <w:bCs/>
      <w:color w:val="4F81BD" w:themeColor="accent1"/>
      <w:lang w:val="en-GB"/>
    </w:rPr>
  </w:style>
  <w:style w:type="paragraph" w:styleId="NoSpacing">
    <w:name w:val="No Spacing"/>
    <w:uiPriority w:val="1"/>
    <w:qFormat/>
    <w:rsid w:val="0051119A"/>
    <w:pPr>
      <w:spacing w:after="0" w:line="240" w:lineRule="auto"/>
    </w:pPr>
    <w:rPr>
      <w:lang w:val="en-GB"/>
    </w:rPr>
  </w:style>
  <w:style w:type="paragraph" w:styleId="BalloonText">
    <w:name w:val="Balloon Text"/>
    <w:basedOn w:val="Normal"/>
    <w:link w:val="BalloonTextChar"/>
    <w:uiPriority w:val="99"/>
    <w:semiHidden/>
    <w:unhideWhenUsed/>
    <w:rsid w:val="00073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725"/>
    <w:rPr>
      <w:rFonts w:ascii="Tahoma" w:hAnsi="Tahoma" w:cs="Tahoma"/>
      <w:sz w:val="16"/>
      <w:szCs w:val="16"/>
      <w:lang w:val="en-GB"/>
    </w:rPr>
  </w:style>
  <w:style w:type="character" w:styleId="Hyperlink">
    <w:name w:val="Hyperlink"/>
    <w:basedOn w:val="DefaultParagraphFont"/>
    <w:uiPriority w:val="99"/>
    <w:unhideWhenUsed/>
    <w:rsid w:val="000737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zavodsz.gov.rs/PDF/izvestaj2016/deca%20u%20sistemu%20socijalne%20zastite%20201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ombudsmanapv.org/riv/attachments/article/1850/Istrazivanje-2016-Nasilje%20u%20porodici%20i%20institucije.pdf" TargetMode="External"/><Relationship Id="rId2" Type="http://schemas.openxmlformats.org/officeDocument/2006/relationships/numbering" Target="numbering.xml"/><Relationship Id="rId16" Type="http://schemas.openxmlformats.org/officeDocument/2006/relationships/hyperlink" Target="http://tbinternet.ohchr.org/_layouts/treatybodyexternal/Download.aspx?symbolno=CRC%2FC%2FSRB%2F2-3&amp;Lang=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mpravde.gov.rs/files/Akcioni%20plan%20PG%2023%20Treci%20nacrt-%20Konacna%20verzija1.pdf"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www.ombudsmanapv.org/riv/attachments/article/1850/Istrazivanje-2016-Nasilje%20u%20porodici%20i%20institucije.pdf" TargetMode="External"/><Relationship Id="rId7" Type="http://schemas.openxmlformats.org/officeDocument/2006/relationships/hyperlink" Target="http://www.zavodsz.gov.rs/PDF/izvestaj2016/deca%20u%20sistemu%20socijalne%20zastite%202015.pdf" TargetMode="External"/><Relationship Id="rId2" Type="http://schemas.openxmlformats.org/officeDocument/2006/relationships/hyperlink" Target="http://tbinternet.ohchr.org/_layouts/treatybodyexternal/Download.aspx?symbolno=CRC%2FC%2FSRB%2F2-3&amp;Lang=en" TargetMode="External"/><Relationship Id="rId1" Type="http://schemas.openxmlformats.org/officeDocument/2006/relationships/hyperlink" Target="http://www.zavodsz.gov.rs/PDF/izvestaj2016/deca%20u%20sistemu%20socijalne%20zastite%202015.pdf" TargetMode="External"/><Relationship Id="rId6" Type="http://schemas.openxmlformats.org/officeDocument/2006/relationships/hyperlink" Target="http://www.stat.gov.rs/" TargetMode="External"/><Relationship Id="rId5" Type="http://schemas.openxmlformats.org/officeDocument/2006/relationships/hyperlink" Target="http://www.stat.gov.rs/" TargetMode="External"/><Relationship Id="rId4" Type="http://schemas.openxmlformats.org/officeDocument/2006/relationships/hyperlink" Target="http://www.mpravde.gov.rs/files/Akcioni%20plan%20PG%2023%20Treci%20nacrt-%20Konacna%20verzij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C861B-E7C9-4756-81E1-C1BE936F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8770</Words>
  <Characters>49992</Characters>
  <Application>Microsoft Office Word</Application>
  <DocSecurity>4</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Jankovic Jovanovic</dc:creator>
  <cp:lastModifiedBy>Radenka Grubacic</cp:lastModifiedBy>
  <cp:revision>2</cp:revision>
  <cp:lastPrinted>2016-11-30T11:40:00Z</cp:lastPrinted>
  <dcterms:created xsi:type="dcterms:W3CDTF">2017-03-13T09:17:00Z</dcterms:created>
  <dcterms:modified xsi:type="dcterms:W3CDTF">2017-03-13T09:17:00Z</dcterms:modified>
</cp:coreProperties>
</file>